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8B953">
      <w:pPr>
        <w:pStyle w:val="2"/>
        <w:spacing w:line="360" w:lineRule="auto"/>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精益成本管理系统</w:t>
      </w:r>
      <w:bookmarkStart w:id="0" w:name="_GoBack"/>
      <w:bookmarkEnd w:id="0"/>
      <w:r>
        <w:rPr>
          <w:rFonts w:hint="eastAsia" w:ascii="仿宋" w:hAnsi="仿宋" w:eastAsia="仿宋"/>
          <w:color w:val="000000" w:themeColor="text1"/>
          <w:sz w:val="32"/>
          <w:szCs w:val="32"/>
          <w14:textFill>
            <w14:solidFill>
              <w14:schemeClr w14:val="tx1"/>
            </w14:solidFill>
          </w14:textFill>
        </w:rPr>
        <w:t>运维清单</w:t>
      </w:r>
    </w:p>
    <w:p w14:paraId="7C3B0306">
      <w:pPr>
        <w:spacing w:line="400" w:lineRule="exact"/>
        <w:jc w:val="center"/>
        <w:rPr>
          <w:rFonts w:ascii="仿宋" w:hAnsi="仿宋" w:eastAsia="仿宋" w:cs="仿宋"/>
          <w:bCs/>
          <w:sz w:val="24"/>
        </w:rPr>
      </w:pPr>
      <w:r>
        <w:rPr>
          <w:rFonts w:hint="eastAsia" w:ascii="仿宋" w:hAnsi="仿宋" w:eastAsia="仿宋" w:cs="仿宋"/>
          <w:bCs/>
          <w:sz w:val="24"/>
        </w:rPr>
        <w:t>维保项目包含OES全成本核算系统各子系统，运维服务参数及具体明细如下：</w:t>
      </w:r>
    </w:p>
    <w:tbl>
      <w:tblPr>
        <w:tblStyle w:val="9"/>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40"/>
        <w:gridCol w:w="8363"/>
      </w:tblGrid>
      <w:tr w14:paraId="1158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restart"/>
            <w:vAlign w:val="center"/>
          </w:tcPr>
          <w:p w14:paraId="132802DE">
            <w:pPr>
              <w:jc w:val="center"/>
              <w:rPr>
                <w:rFonts w:ascii="仿宋" w:hAnsi="仿宋" w:eastAsia="仿宋" w:cs="仿宋"/>
                <w:b/>
                <w:sz w:val="24"/>
              </w:rPr>
            </w:pPr>
            <w:r>
              <w:rPr>
                <w:rFonts w:hint="eastAsia" w:ascii="仿宋" w:hAnsi="仿宋" w:eastAsia="仿宋" w:cs="仿宋"/>
                <w:b/>
                <w:sz w:val="24"/>
              </w:rPr>
              <w:t>子系统明细</w:t>
            </w:r>
          </w:p>
        </w:tc>
        <w:tc>
          <w:tcPr>
            <w:tcW w:w="1140" w:type="dxa"/>
            <w:vAlign w:val="center"/>
          </w:tcPr>
          <w:p w14:paraId="1CACA7A4">
            <w:pPr>
              <w:jc w:val="center"/>
              <w:rPr>
                <w:rFonts w:ascii="仿宋" w:hAnsi="仿宋" w:eastAsia="仿宋" w:cs="仿宋"/>
                <w:b/>
                <w:sz w:val="24"/>
              </w:rPr>
            </w:pPr>
            <w:r>
              <w:rPr>
                <w:rFonts w:hint="eastAsia" w:ascii="仿宋" w:hAnsi="仿宋" w:eastAsia="仿宋" w:cs="仿宋"/>
                <w:b/>
                <w:sz w:val="24"/>
              </w:rPr>
              <w:t>序号</w:t>
            </w:r>
          </w:p>
        </w:tc>
        <w:tc>
          <w:tcPr>
            <w:tcW w:w="8363" w:type="dxa"/>
            <w:vAlign w:val="center"/>
          </w:tcPr>
          <w:p w14:paraId="79FDAC6C">
            <w:pPr>
              <w:jc w:val="center"/>
              <w:rPr>
                <w:rFonts w:ascii="仿宋" w:hAnsi="仿宋" w:eastAsia="仿宋" w:cs="仿宋"/>
                <w:b/>
                <w:sz w:val="24"/>
              </w:rPr>
            </w:pPr>
            <w:r>
              <w:rPr>
                <w:rFonts w:hint="eastAsia" w:ascii="仿宋" w:hAnsi="仿宋" w:eastAsia="仿宋" w:cs="仿宋"/>
                <w:b/>
                <w:sz w:val="24"/>
              </w:rPr>
              <w:t>系统名称</w:t>
            </w:r>
          </w:p>
        </w:tc>
      </w:tr>
      <w:tr w14:paraId="3674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7ABAA912">
            <w:pPr>
              <w:spacing w:before="240"/>
              <w:jc w:val="center"/>
              <w:rPr>
                <w:rFonts w:ascii="仿宋" w:hAnsi="仿宋" w:eastAsia="仿宋" w:cs="仿宋"/>
                <w:sz w:val="24"/>
              </w:rPr>
            </w:pPr>
          </w:p>
        </w:tc>
        <w:tc>
          <w:tcPr>
            <w:tcW w:w="1140" w:type="dxa"/>
          </w:tcPr>
          <w:p w14:paraId="6CAE54F5">
            <w:pPr>
              <w:pStyle w:val="15"/>
              <w:spacing w:before="155"/>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01</w:t>
            </w:r>
          </w:p>
        </w:tc>
        <w:tc>
          <w:tcPr>
            <w:tcW w:w="8363" w:type="dxa"/>
          </w:tcPr>
          <w:p w14:paraId="7F51956F">
            <w:pPr>
              <w:pStyle w:val="15"/>
              <w:spacing w:before="20"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0ES-医院系统管理平台[简称：系统管理]V6.0</w:t>
            </w:r>
          </w:p>
        </w:tc>
      </w:tr>
      <w:tr w14:paraId="2E12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7D278A1A">
            <w:pPr>
              <w:spacing w:before="240"/>
              <w:jc w:val="center"/>
              <w:rPr>
                <w:rFonts w:ascii="仿宋" w:hAnsi="仿宋" w:eastAsia="仿宋" w:cs="仿宋"/>
                <w:sz w:val="24"/>
              </w:rPr>
            </w:pPr>
          </w:p>
        </w:tc>
        <w:tc>
          <w:tcPr>
            <w:tcW w:w="1140" w:type="dxa"/>
          </w:tcPr>
          <w:p w14:paraId="785C388C">
            <w:pPr>
              <w:pStyle w:val="15"/>
              <w:spacing w:before="146"/>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02</w:t>
            </w:r>
          </w:p>
        </w:tc>
        <w:tc>
          <w:tcPr>
            <w:tcW w:w="8363" w:type="dxa"/>
          </w:tcPr>
          <w:p w14:paraId="6F41CBA5">
            <w:pPr>
              <w:pStyle w:val="15"/>
              <w:spacing w:before="121"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0ES-医院科室成本管理系统V6.0</w:t>
            </w:r>
          </w:p>
        </w:tc>
      </w:tr>
      <w:tr w14:paraId="06FA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0B31DAFB">
            <w:pPr>
              <w:spacing w:before="240"/>
              <w:jc w:val="center"/>
              <w:rPr>
                <w:rFonts w:ascii="仿宋" w:hAnsi="仿宋" w:eastAsia="仿宋" w:cs="仿宋"/>
                <w:sz w:val="24"/>
              </w:rPr>
            </w:pPr>
          </w:p>
        </w:tc>
        <w:tc>
          <w:tcPr>
            <w:tcW w:w="1140" w:type="dxa"/>
          </w:tcPr>
          <w:p w14:paraId="052A296F">
            <w:pPr>
              <w:pStyle w:val="15"/>
              <w:spacing w:before="147"/>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03</w:t>
            </w:r>
          </w:p>
        </w:tc>
        <w:tc>
          <w:tcPr>
            <w:tcW w:w="8363" w:type="dxa"/>
          </w:tcPr>
          <w:p w14:paraId="3544D93C">
            <w:pPr>
              <w:pStyle w:val="15"/>
              <w:spacing w:before="122"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0ES-医疗服务项目成本管理系统V6.0</w:t>
            </w:r>
          </w:p>
        </w:tc>
      </w:tr>
      <w:tr w14:paraId="7C6D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36988610">
            <w:pPr>
              <w:spacing w:before="240"/>
              <w:jc w:val="center"/>
              <w:rPr>
                <w:rFonts w:ascii="仿宋" w:hAnsi="仿宋" w:eastAsia="仿宋" w:cs="仿宋"/>
                <w:sz w:val="24"/>
              </w:rPr>
            </w:pPr>
          </w:p>
        </w:tc>
        <w:tc>
          <w:tcPr>
            <w:tcW w:w="1140" w:type="dxa"/>
          </w:tcPr>
          <w:p w14:paraId="00B4C97B">
            <w:pPr>
              <w:pStyle w:val="15"/>
              <w:spacing w:before="148"/>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04</w:t>
            </w:r>
          </w:p>
        </w:tc>
        <w:tc>
          <w:tcPr>
            <w:tcW w:w="8363" w:type="dxa"/>
          </w:tcPr>
          <w:p w14:paraId="02077D27">
            <w:pPr>
              <w:pStyle w:val="15"/>
              <w:spacing w:before="13"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基于叠加法的DIP成本管理系统[简称：叠加法DIP成本]V6.2</w:t>
            </w:r>
          </w:p>
        </w:tc>
      </w:tr>
      <w:tr w14:paraId="2547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31717529">
            <w:pPr>
              <w:spacing w:before="240"/>
              <w:jc w:val="center"/>
              <w:rPr>
                <w:rFonts w:ascii="仿宋" w:hAnsi="仿宋" w:eastAsia="仿宋" w:cs="仿宋"/>
                <w:sz w:val="24"/>
              </w:rPr>
            </w:pPr>
          </w:p>
        </w:tc>
        <w:tc>
          <w:tcPr>
            <w:tcW w:w="1140" w:type="dxa"/>
          </w:tcPr>
          <w:p w14:paraId="68A8668E">
            <w:pPr>
              <w:pStyle w:val="15"/>
              <w:spacing w:before="148"/>
              <w:ind w:left="155"/>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0</w:t>
            </w:r>
            <w:r>
              <w:rPr>
                <w:rFonts w:ascii="仿宋" w:hAnsi="仿宋" w:eastAsia="仿宋" w:cs="仿宋"/>
                <w:b/>
                <w:sz w:val="24"/>
                <w:szCs w:val="24"/>
                <w:lang w:eastAsia="zh-CN"/>
              </w:rPr>
              <w:t>5</w:t>
            </w:r>
          </w:p>
        </w:tc>
        <w:tc>
          <w:tcPr>
            <w:tcW w:w="8363" w:type="dxa"/>
          </w:tcPr>
          <w:p w14:paraId="1F734C6D">
            <w:pPr>
              <w:pStyle w:val="15"/>
              <w:spacing w:before="124" w:line="219" w:lineRule="auto"/>
              <w:ind w:left="91"/>
              <w:rPr>
                <w:rFonts w:hint="eastAsia" w:ascii="仿宋" w:hAnsi="仿宋" w:eastAsia="仿宋" w:cs="仿宋"/>
                <w:b/>
                <w:sz w:val="24"/>
                <w:szCs w:val="24"/>
                <w:lang w:eastAsia="zh-CN"/>
              </w:rPr>
            </w:pPr>
            <w:r>
              <w:rPr>
                <w:rFonts w:hint="eastAsia" w:ascii="仿宋" w:hAnsi="仿宋" w:eastAsia="仿宋" w:cs="仿宋"/>
                <w:b/>
                <w:sz w:val="24"/>
                <w:szCs w:val="24"/>
                <w:lang w:eastAsia="zh-CN"/>
              </w:rPr>
              <w:t>医院成本管理诊断服务</w:t>
            </w:r>
          </w:p>
        </w:tc>
      </w:tr>
      <w:tr w14:paraId="613C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324C4CE1">
            <w:pPr>
              <w:spacing w:before="240"/>
              <w:jc w:val="center"/>
              <w:rPr>
                <w:rFonts w:ascii="仿宋" w:hAnsi="仿宋" w:eastAsia="仿宋" w:cs="仿宋"/>
                <w:sz w:val="24"/>
              </w:rPr>
            </w:pPr>
          </w:p>
        </w:tc>
        <w:tc>
          <w:tcPr>
            <w:tcW w:w="1140" w:type="dxa"/>
          </w:tcPr>
          <w:p w14:paraId="00F15197">
            <w:pPr>
              <w:pStyle w:val="15"/>
              <w:spacing w:before="149"/>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w:t>
            </w:r>
            <w:r>
              <w:rPr>
                <w:rFonts w:ascii="仿宋" w:hAnsi="仿宋" w:eastAsia="仿宋" w:cs="仿宋"/>
                <w:b/>
                <w:sz w:val="24"/>
                <w:szCs w:val="24"/>
                <w:lang w:eastAsia="zh-CN"/>
              </w:rPr>
              <w:t>6</w:t>
            </w:r>
          </w:p>
        </w:tc>
        <w:tc>
          <w:tcPr>
            <w:tcW w:w="8363" w:type="dxa"/>
          </w:tcPr>
          <w:p w14:paraId="0D24CCBF">
            <w:pPr>
              <w:pStyle w:val="15"/>
              <w:spacing w:before="124"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成本数据治理服务</w:t>
            </w:r>
          </w:p>
        </w:tc>
      </w:tr>
      <w:tr w14:paraId="370D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vMerge w:val="continue"/>
          </w:tcPr>
          <w:p w14:paraId="34B66BC7">
            <w:pPr>
              <w:spacing w:before="240"/>
              <w:jc w:val="center"/>
              <w:rPr>
                <w:rFonts w:ascii="仿宋" w:hAnsi="仿宋" w:eastAsia="仿宋" w:cs="仿宋"/>
                <w:sz w:val="24"/>
              </w:rPr>
            </w:pPr>
          </w:p>
        </w:tc>
        <w:tc>
          <w:tcPr>
            <w:tcW w:w="1140" w:type="dxa"/>
          </w:tcPr>
          <w:p w14:paraId="508634CD">
            <w:pPr>
              <w:pStyle w:val="15"/>
              <w:spacing w:before="150"/>
              <w:ind w:left="155"/>
              <w:jc w:val="center"/>
              <w:rPr>
                <w:rFonts w:ascii="仿宋" w:hAnsi="仿宋" w:eastAsia="仿宋" w:cs="仿宋"/>
                <w:b/>
                <w:sz w:val="24"/>
                <w:szCs w:val="24"/>
                <w:lang w:eastAsia="zh-CN"/>
              </w:rPr>
            </w:pPr>
            <w:r>
              <w:rPr>
                <w:rFonts w:hint="eastAsia" w:ascii="仿宋" w:hAnsi="仿宋" w:eastAsia="仿宋" w:cs="仿宋"/>
                <w:b/>
                <w:sz w:val="24"/>
                <w:szCs w:val="24"/>
                <w:lang w:eastAsia="zh-CN"/>
              </w:rPr>
              <w:t>0</w:t>
            </w:r>
            <w:r>
              <w:rPr>
                <w:rFonts w:ascii="仿宋" w:hAnsi="仿宋" w:eastAsia="仿宋" w:cs="仿宋"/>
                <w:b/>
                <w:sz w:val="24"/>
                <w:szCs w:val="24"/>
                <w:lang w:eastAsia="zh-CN"/>
              </w:rPr>
              <w:t>7</w:t>
            </w:r>
          </w:p>
        </w:tc>
        <w:tc>
          <w:tcPr>
            <w:tcW w:w="8363" w:type="dxa"/>
          </w:tcPr>
          <w:p w14:paraId="12F8B891">
            <w:pPr>
              <w:pStyle w:val="15"/>
              <w:spacing w:before="125" w:line="219" w:lineRule="auto"/>
              <w:ind w:left="91"/>
              <w:rPr>
                <w:rFonts w:ascii="仿宋" w:hAnsi="仿宋" w:eastAsia="仿宋" w:cs="仿宋"/>
                <w:b/>
                <w:sz w:val="24"/>
                <w:szCs w:val="24"/>
                <w:lang w:eastAsia="zh-CN"/>
              </w:rPr>
            </w:pPr>
            <w:r>
              <w:rPr>
                <w:rFonts w:hint="eastAsia" w:ascii="仿宋" w:hAnsi="仿宋" w:eastAsia="仿宋" w:cs="仿宋"/>
                <w:b/>
                <w:sz w:val="24"/>
                <w:szCs w:val="24"/>
                <w:lang w:eastAsia="zh-CN"/>
              </w:rPr>
              <w:t>接口服务</w:t>
            </w:r>
          </w:p>
        </w:tc>
      </w:tr>
      <w:tr w14:paraId="439F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jc w:val="center"/>
        </w:trPr>
        <w:tc>
          <w:tcPr>
            <w:tcW w:w="562" w:type="dxa"/>
            <w:vAlign w:val="center"/>
          </w:tcPr>
          <w:p w14:paraId="3F4EE491">
            <w:pPr>
              <w:spacing w:before="240"/>
              <w:jc w:val="left"/>
              <w:rPr>
                <w:rFonts w:ascii="仿宋" w:hAnsi="仿宋" w:eastAsia="仿宋" w:cs="仿宋"/>
                <w:b/>
                <w:bCs/>
                <w:sz w:val="24"/>
              </w:rPr>
            </w:pPr>
            <w:r>
              <w:rPr>
                <w:rFonts w:hint="eastAsia" w:ascii="仿宋" w:hAnsi="仿宋" w:eastAsia="仿宋" w:cs="仿宋"/>
                <w:b/>
                <w:bCs/>
                <w:sz w:val="24"/>
              </w:rPr>
              <w:t>运维服务要求</w:t>
            </w:r>
          </w:p>
        </w:tc>
        <w:tc>
          <w:tcPr>
            <w:tcW w:w="9503" w:type="dxa"/>
            <w:gridSpan w:val="2"/>
          </w:tcPr>
          <w:p w14:paraId="4E3F7E0E">
            <w:pPr>
              <w:spacing w:line="360" w:lineRule="auto"/>
              <w:rPr>
                <w:rFonts w:hint="eastAsia" w:ascii="仿宋" w:hAnsi="仿宋" w:eastAsia="仿宋" w:cs="仿宋"/>
                <w:sz w:val="24"/>
              </w:rPr>
            </w:pPr>
            <w:r>
              <w:rPr>
                <w:rFonts w:hint="eastAsia" w:ascii="仿宋" w:hAnsi="仿宋" w:eastAsia="仿宋" w:cs="仿宋"/>
                <w:sz w:val="24"/>
              </w:rPr>
              <w:t>标准售后服务支持</w:t>
            </w:r>
          </w:p>
          <w:p w14:paraId="6CC2DCE3">
            <w:pPr>
              <w:spacing w:line="360" w:lineRule="auto"/>
              <w:rPr>
                <w:rFonts w:hint="eastAsia" w:ascii="仿宋" w:hAnsi="仿宋" w:eastAsia="仿宋" w:cs="仿宋"/>
                <w:color w:val="FF0000"/>
                <w:sz w:val="24"/>
              </w:rPr>
            </w:pPr>
            <w:r>
              <w:rPr>
                <w:rFonts w:hint="eastAsia" w:ascii="仿宋" w:hAnsi="仿宋" w:eastAsia="仿宋" w:cs="仿宋"/>
                <w:color w:val="FF0000"/>
                <w:sz w:val="24"/>
              </w:rPr>
              <w:t>提供7x24小时免费技术支持，包括通过电话、远程</w:t>
            </w:r>
            <w:r>
              <w:rPr>
                <w:rFonts w:hint="eastAsia" w:ascii="仿宋" w:hAnsi="仿宋" w:eastAsia="仿宋" w:cs="仿宋"/>
                <w:color w:val="FF0000"/>
                <w:sz w:val="24"/>
                <w:lang w:val="en-US" w:eastAsia="zh-CN"/>
              </w:rPr>
              <w:t>协助</w:t>
            </w:r>
            <w:r>
              <w:rPr>
                <w:rFonts w:hint="eastAsia" w:ascii="仿宋" w:hAnsi="仿宋" w:eastAsia="仿宋" w:cs="仿宋"/>
                <w:color w:val="FF0000"/>
                <w:sz w:val="24"/>
              </w:rPr>
              <w:t>、现场</w:t>
            </w:r>
            <w:r>
              <w:rPr>
                <w:rFonts w:hint="eastAsia" w:ascii="仿宋" w:hAnsi="仿宋" w:eastAsia="仿宋" w:cs="仿宋"/>
                <w:color w:val="FF0000"/>
                <w:sz w:val="24"/>
                <w:lang w:val="en-US" w:eastAsia="zh-CN"/>
              </w:rPr>
              <w:t>技术支持</w:t>
            </w:r>
            <w:r>
              <w:rPr>
                <w:rFonts w:hint="eastAsia" w:ascii="仿宋" w:hAnsi="仿宋" w:eastAsia="仿宋" w:cs="仿宋"/>
                <w:color w:val="FF0000"/>
                <w:sz w:val="24"/>
              </w:rPr>
              <w:t>等方式。保证有足够的人员负责本系统运维工作：</w:t>
            </w:r>
          </w:p>
          <w:p w14:paraId="4104ED21">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（1）在线应答</w:t>
            </w:r>
          </w:p>
          <w:p w14:paraId="76CACB3E">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电话在线服务</w:t>
            </w:r>
          </w:p>
          <w:p w14:paraId="598A44BF">
            <w:pPr>
              <w:pStyle w:val="3"/>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项目单位将问题以电话的形式反馈到公司，乙方专门的实施人员、客户服务人员将在30分钟之内响应。通过与客户的电话交流对问题进行排查，发现问题并解决问题。</w:t>
            </w:r>
          </w:p>
          <w:p w14:paraId="6239B90C">
            <w:pPr>
              <w:pStyle w:val="3"/>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当电话在线服务不足以解决问题或故障情况比较复杂时，甲方可以通过邮件将问题描述、截图、备份压缩后数据库和环境包等资料通过邮件发送给乙方客户服务中心，技术支持人员将在收到客户邮件后予以响应反馈，进行问题的汇总、分析、排查、还原环境等工作，予以解决，反馈给客户的相关责任人员，完成该次服务。</w:t>
            </w:r>
          </w:p>
          <w:p w14:paraId="1F9FE266">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（2）远程协助</w:t>
            </w:r>
          </w:p>
          <w:p w14:paraId="1E574CB7">
            <w:pPr>
              <w:pStyle w:val="3"/>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当电话、邮件支持不足以解决问题或故障情况比较复杂时，乙方客户服务中心的技术人员将在甲方技术人员的协助下，通过远程登录的方式进入甲方的软件客户端。乙方客户服务中心的技术人员在甲方技术人员的协助下确定故障原因，找出解决的方法予以解决，完成该次服务。</w:t>
            </w:r>
          </w:p>
          <w:p w14:paraId="57A95990">
            <w:pPr>
              <w:pStyle w:val="4"/>
              <w:spacing w:line="360" w:lineRule="auto"/>
              <w:rPr>
                <w:rFonts w:ascii="仿宋" w:hAnsi="仿宋" w:eastAsia="仿宋" w:cs="仿宋"/>
                <w:sz w:val="24"/>
                <w:lang w:eastAsia="zh-Hans"/>
              </w:rPr>
            </w:pPr>
            <w:r>
              <w:rPr>
                <w:rFonts w:ascii="仿宋" w:hAnsi="仿宋" w:eastAsia="仿宋" w:cs="仿宋"/>
                <w:sz w:val="24"/>
                <w:lang w:eastAsia="zh-Hans"/>
              </w:rPr>
              <w:t xml:space="preserve">  </w:t>
            </w:r>
            <w:r>
              <w:rPr>
                <w:rFonts w:hint="eastAsia" w:ascii="仿宋" w:hAnsi="仿宋" w:eastAsia="仿宋" w:cs="仿宋"/>
                <w:sz w:val="24"/>
              </w:rPr>
              <w:t xml:space="preserve">  </w:t>
            </w:r>
            <w:r>
              <w:rPr>
                <w:rFonts w:hint="eastAsia" w:ascii="仿宋" w:hAnsi="仿宋" w:eastAsia="仿宋" w:cs="仿宋"/>
                <w:sz w:val="24"/>
                <w:lang w:eastAsia="zh-Hans"/>
              </w:rPr>
              <w:t>若乙方通过在线应答</w:t>
            </w:r>
            <w:r>
              <w:rPr>
                <w:rFonts w:ascii="仿宋" w:hAnsi="仿宋" w:eastAsia="仿宋" w:cs="仿宋"/>
                <w:sz w:val="24"/>
                <w:lang w:eastAsia="zh-Hans"/>
              </w:rPr>
              <w:t>、</w:t>
            </w:r>
            <w:r>
              <w:rPr>
                <w:rFonts w:hint="eastAsia" w:ascii="仿宋" w:hAnsi="仿宋" w:eastAsia="仿宋" w:cs="仿宋"/>
                <w:sz w:val="24"/>
                <w:lang w:eastAsia="zh-Hans"/>
              </w:rPr>
              <w:t>远程协助的方式无法解决甲方系统故障或者甲方需要乙方现场指导的</w:t>
            </w:r>
            <w:r>
              <w:rPr>
                <w:rFonts w:ascii="仿宋" w:hAnsi="仿宋" w:eastAsia="仿宋" w:cs="仿宋"/>
                <w:sz w:val="24"/>
                <w:lang w:eastAsia="zh-Hans"/>
              </w:rPr>
              <w:t>，</w:t>
            </w:r>
            <w:r>
              <w:rPr>
                <w:rFonts w:hint="eastAsia" w:ascii="仿宋" w:hAnsi="仿宋" w:eastAsia="仿宋" w:cs="仿宋"/>
                <w:sz w:val="24"/>
                <w:lang w:eastAsia="zh-Hans"/>
              </w:rPr>
              <w:t>乙方应于收到甲方告知后</w:t>
            </w:r>
            <w:r>
              <w:rPr>
                <w:rFonts w:ascii="仿宋" w:hAnsi="仿宋" w:eastAsia="仿宋" w:cs="仿宋"/>
                <w:sz w:val="24"/>
                <w:lang w:eastAsia="zh-Hans"/>
              </w:rPr>
              <w:t>24</w:t>
            </w:r>
            <w:r>
              <w:rPr>
                <w:rFonts w:hint="eastAsia" w:ascii="仿宋" w:hAnsi="仿宋" w:eastAsia="仿宋" w:cs="仿宋"/>
                <w:sz w:val="24"/>
                <w:lang w:eastAsia="zh-Hans"/>
              </w:rPr>
              <w:t>小时内到达现场进行处理</w:t>
            </w:r>
            <w:r>
              <w:rPr>
                <w:rFonts w:ascii="仿宋" w:hAnsi="仿宋" w:eastAsia="仿宋" w:cs="仿宋"/>
                <w:sz w:val="24"/>
                <w:lang w:eastAsia="zh-Hans"/>
              </w:rPr>
              <w:t>。</w:t>
            </w:r>
          </w:p>
          <w:p w14:paraId="39E80FA0">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（3）现场技术支持</w:t>
            </w:r>
          </w:p>
          <w:p w14:paraId="0046E5B0">
            <w:pPr>
              <w:pStyle w:val="3"/>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乙方派人到甲方，提供包括BUG修改，接口变更，运行环境（操作系统、数据库）变更，网络环境、服务器变动或机房搬迁引起的移机的支持等服务。</w:t>
            </w:r>
          </w:p>
          <w:p w14:paraId="73F50C18">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（4）客户回访</w:t>
            </w:r>
          </w:p>
          <w:p w14:paraId="422FFAEB">
            <w:pPr>
              <w:pStyle w:val="3"/>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乙方客服人员</w:t>
            </w:r>
            <w:r>
              <w:rPr>
                <w:rFonts w:hint="eastAsia" w:ascii="仿宋" w:hAnsi="仿宋" w:eastAsia="仿宋" w:cs="仿宋"/>
                <w:color w:val="FF0000"/>
                <w:sz w:val="24"/>
                <w:szCs w:val="24"/>
                <w:lang w:val="en-US" w:eastAsia="zh-CN"/>
              </w:rPr>
              <w:t>每季度</w:t>
            </w:r>
            <w:r>
              <w:rPr>
                <w:rFonts w:hint="eastAsia" w:ascii="仿宋" w:hAnsi="仿宋" w:eastAsia="仿宋" w:cs="仿宋"/>
                <w:sz w:val="24"/>
                <w:szCs w:val="24"/>
              </w:rPr>
              <w:t>对甲方进行电话回访，或者现场回访，对甲方在软件使用过程中的常见问题进行解答处理。</w:t>
            </w:r>
          </w:p>
          <w:p w14:paraId="2786F177">
            <w:pPr>
              <w:pStyle w:val="3"/>
              <w:spacing w:line="360" w:lineRule="auto"/>
              <w:ind w:firstLine="0"/>
              <w:rPr>
                <w:rFonts w:ascii="仿宋" w:hAnsi="仿宋" w:eastAsia="仿宋" w:cs="仿宋"/>
                <w:sz w:val="24"/>
                <w:szCs w:val="24"/>
              </w:rPr>
            </w:pPr>
            <w:r>
              <w:rPr>
                <w:rFonts w:hint="eastAsia" w:ascii="仿宋" w:hAnsi="仿宋" w:eastAsia="仿宋" w:cs="仿宋"/>
                <w:sz w:val="24"/>
                <w:szCs w:val="24"/>
              </w:rPr>
              <w:t>（5）培训支持</w:t>
            </w:r>
          </w:p>
          <w:p w14:paraId="444410E0">
            <w:pPr>
              <w:pStyle w:val="3"/>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乙方客服人员定期对甲方进行技术培训，对甲方在软件使用过程中的操作问题进行解答处理。</w:t>
            </w:r>
          </w:p>
          <w:p w14:paraId="156666DB">
            <w:pPr>
              <w:keepNext w:val="0"/>
              <w:keepLines w:val="0"/>
              <w:pageBreakBefore w:val="0"/>
              <w:widowControl w:val="0"/>
              <w:numPr>
                <w:ilvl w:val="0"/>
                <w:numId w:val="1"/>
              </w:numPr>
              <w:kinsoku/>
              <w:wordWrap/>
              <w:overflowPunct/>
              <w:topLinePunct w:val="0"/>
              <w:autoSpaceDE/>
              <w:autoSpaceDN/>
              <w:bidi w:val="0"/>
              <w:adjustRightInd/>
              <w:snapToGrid/>
              <w:spacing w:line="578" w:lineRule="exact"/>
              <w:jc w:val="left"/>
              <w:textAlignment w:val="auto"/>
              <w:rPr>
                <w:rFonts w:hint="eastAsia" w:ascii="仿宋" w:hAnsi="仿宋" w:eastAsia="仿宋" w:cs="仿宋"/>
                <w:color w:val="FF0000"/>
                <w:kern w:val="2"/>
                <w:sz w:val="24"/>
                <w:szCs w:val="24"/>
                <w:lang w:val="en-US" w:eastAsia="zh-CN" w:bidi="ar-SA"/>
              </w:rPr>
            </w:pPr>
            <w:r>
              <w:rPr>
                <w:rFonts w:hint="eastAsia" w:ascii="仿宋" w:hAnsi="仿宋" w:eastAsia="仿宋" w:cs="仿宋"/>
                <w:color w:val="FF0000"/>
                <w:kern w:val="2"/>
                <w:sz w:val="24"/>
                <w:szCs w:val="24"/>
                <w:lang w:val="en-US" w:eastAsia="zh-CN" w:bidi="ar-SA"/>
              </w:rPr>
              <w:t>巡检服务</w:t>
            </w:r>
          </w:p>
          <w:p w14:paraId="0F26C00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80" w:firstLineChars="200"/>
              <w:jc w:val="left"/>
              <w:textAlignment w:val="auto"/>
              <w:rPr>
                <w:rFonts w:hint="eastAsia" w:ascii="仿宋" w:hAnsi="仿宋" w:eastAsia="仿宋" w:cs="仿宋"/>
                <w:color w:val="FF0000"/>
                <w:sz w:val="24"/>
                <w:szCs w:val="24"/>
              </w:rPr>
            </w:pPr>
            <w:r>
              <w:rPr>
                <w:rFonts w:hint="eastAsia" w:ascii="仿宋" w:hAnsi="仿宋" w:eastAsia="仿宋" w:cs="仿宋"/>
                <w:color w:val="FF0000"/>
                <w:kern w:val="2"/>
                <w:sz w:val="24"/>
                <w:szCs w:val="24"/>
                <w:lang w:val="en-US" w:eastAsia="zh-CN" w:bidi="ar-SA"/>
              </w:rPr>
              <w:t>一年提供4次巡检服务（巡检方式不限）、节假日巡检服务。</w:t>
            </w:r>
          </w:p>
          <w:p w14:paraId="30EDF529">
            <w:pPr>
              <w:pStyle w:val="3"/>
              <w:numPr>
                <w:ilvl w:val="0"/>
                <w:numId w:val="0"/>
              </w:numPr>
              <w:spacing w:line="360" w:lineRule="auto"/>
              <w:rPr>
                <w:rFonts w:hint="default" w:ascii="仿宋" w:hAnsi="仿宋" w:eastAsia="宋体" w:cs="仿宋"/>
                <w:color w:val="FF0000"/>
                <w:sz w:val="24"/>
                <w:szCs w:val="24"/>
                <w:lang w:val="en-US" w:eastAsia="zh-CN"/>
              </w:rPr>
            </w:pPr>
            <w:r>
              <w:rPr>
                <w:rFonts w:hint="eastAsia" w:ascii="仿宋" w:hAnsi="仿宋" w:eastAsia="仿宋" w:cs="仿宋"/>
                <w:color w:val="FF0000"/>
                <w:sz w:val="24"/>
                <w:szCs w:val="24"/>
                <w:lang w:val="en-US" w:eastAsia="zh-CN"/>
              </w:rPr>
              <w:t>（7）</w:t>
            </w:r>
            <w:r>
              <w:rPr>
                <w:rFonts w:hint="eastAsia" w:ascii="仿宋" w:hAnsi="仿宋" w:eastAsia="仿宋" w:cs="仿宋"/>
                <w:color w:val="FF0000"/>
                <w:kern w:val="2"/>
                <w:sz w:val="24"/>
                <w:szCs w:val="24"/>
                <w:lang w:val="en-US" w:eastAsia="zh-CN" w:bidi="ar-SA"/>
              </w:rPr>
              <w:t>等级评审及数据产出服务</w:t>
            </w:r>
          </w:p>
          <w:p w14:paraId="1CBE7A17">
            <w:pPr>
              <w:pStyle w:val="3"/>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1.配合医院等级评审数据获取</w:t>
            </w:r>
          </w:p>
          <w:p w14:paraId="480A5F78">
            <w:pPr>
              <w:pStyle w:val="3"/>
              <w:spacing w:line="360" w:lineRule="auto"/>
              <w:ind w:firstLine="480" w:firstLineChars="200"/>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2.支持卫健委、医保局成本相关报表、DIP成本上报数据提取指导</w:t>
            </w:r>
          </w:p>
          <w:p w14:paraId="0ED283FD">
            <w:pPr>
              <w:pStyle w:val="3"/>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3.配合完成DIP成本报表产出、DIP成本年度分析产出。</w:t>
            </w:r>
          </w:p>
          <w:p w14:paraId="295088D7">
            <w:pPr>
              <w:pStyle w:val="3"/>
              <w:spacing w:line="360" w:lineRule="auto"/>
              <w:ind w:left="0" w:leftChars="0" w:firstLine="0" w:firstLineChars="0"/>
              <w:jc w:val="left"/>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（8）新病区调整及成本重新整合服务</w:t>
            </w:r>
          </w:p>
          <w:p w14:paraId="26DBBCBB">
            <w:pPr>
              <w:pStyle w:val="3"/>
              <w:spacing w:line="360" w:lineRule="auto"/>
              <w:ind w:left="0" w:leftChars="0" w:firstLine="480" w:firstLineChars="200"/>
              <w:jc w:val="left"/>
            </w:pPr>
            <w:r>
              <w:rPr>
                <w:rFonts w:hint="eastAsia" w:ascii="仿宋" w:hAnsi="仿宋" w:eastAsia="仿宋" w:cs="仿宋"/>
                <w:color w:val="FF0000"/>
                <w:sz w:val="24"/>
                <w:szCs w:val="24"/>
                <w:lang w:val="en-US" w:eastAsia="zh-CN"/>
              </w:rPr>
              <w:t>甲方发生病区搬迁、科室新增、拆分合并、科室归属调整、科室编码变更、成本单元重构等业务变动时，配合甲方完成成本重置。</w:t>
            </w:r>
          </w:p>
          <w:p w14:paraId="3E9F9BFD">
            <w:pPr>
              <w:pStyle w:val="5"/>
            </w:pPr>
          </w:p>
        </w:tc>
      </w:tr>
    </w:tbl>
    <w:p w14:paraId="317294C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1" w:fontKey="{C81152B9-4280-4474-A643-C721538F47D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D1028"/>
    <w:multiLevelType w:val="singleLevel"/>
    <w:tmpl w:val="9ACD1028"/>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ZkOGUxODYyNzI5MmUyZWZlYTJkZWYxZmE0ZDljZDEifQ=="/>
  </w:docVars>
  <w:rsids>
    <w:rsidRoot w:val="003A7B7F"/>
    <w:rsid w:val="001B199A"/>
    <w:rsid w:val="002250B4"/>
    <w:rsid w:val="002D6063"/>
    <w:rsid w:val="00303735"/>
    <w:rsid w:val="00344417"/>
    <w:rsid w:val="00344DFD"/>
    <w:rsid w:val="003A7B7F"/>
    <w:rsid w:val="00534724"/>
    <w:rsid w:val="00596410"/>
    <w:rsid w:val="00953170"/>
    <w:rsid w:val="009A0705"/>
    <w:rsid w:val="00AE54EB"/>
    <w:rsid w:val="00AF3DD3"/>
    <w:rsid w:val="00CF423B"/>
    <w:rsid w:val="00E0341E"/>
    <w:rsid w:val="3C4E0C7B"/>
    <w:rsid w:val="403E3505"/>
    <w:rsid w:val="46AB5A92"/>
    <w:rsid w:val="53BB66F7"/>
    <w:rsid w:val="57111CF1"/>
    <w:rsid w:val="5C1E2C0F"/>
    <w:rsid w:val="66CB28E9"/>
    <w:rsid w:val="68757670"/>
    <w:rsid w:val="6EBF7581"/>
    <w:rsid w:val="6FBB5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autoSpaceDE w:val="0"/>
      <w:autoSpaceDN w:val="0"/>
      <w:adjustRightInd w:val="0"/>
      <w:jc w:val="left"/>
      <w:outlineLvl w:val="0"/>
    </w:pPr>
    <w:rPr>
      <w:rFonts w:ascii="仿宋_GB2312" w:eastAsia="仿宋_GB2312"/>
      <w:b/>
      <w:bCs/>
      <w:color w:val="000000"/>
      <w:kern w:val="0"/>
      <w:sz w:val="28"/>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Body Text"/>
    <w:basedOn w:val="1"/>
    <w:link w:val="13"/>
    <w:semiHidden/>
    <w:unhideWhenUsed/>
    <w:qFormat/>
    <w:uiPriority w:val="99"/>
    <w:pPr>
      <w:spacing w:after="12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正文文本 字符"/>
    <w:basedOn w:val="10"/>
    <w:link w:val="5"/>
    <w:semiHidden/>
    <w:qFormat/>
    <w:uiPriority w:val="99"/>
    <w:rPr>
      <w:rFonts w:ascii="Times New Roman" w:hAnsi="Times New Roman" w:eastAsia="宋体" w:cs="Times New Roman"/>
      <w:szCs w:val="24"/>
    </w:rPr>
  </w:style>
  <w:style w:type="character" w:customStyle="1" w:styleId="14">
    <w:name w:val="标题 1 字符"/>
    <w:basedOn w:val="10"/>
    <w:link w:val="2"/>
    <w:qFormat/>
    <w:uiPriority w:val="0"/>
    <w:rPr>
      <w:rFonts w:ascii="仿宋_GB2312" w:hAnsi="Times New Roman" w:eastAsia="仿宋_GB2312" w:cs="Times New Roman"/>
      <w:b/>
      <w:bCs/>
      <w:color w:val="000000"/>
      <w:kern w:val="0"/>
      <w:sz w:val="28"/>
      <w:szCs w:val="20"/>
    </w:rPr>
  </w:style>
  <w:style w:type="paragraph" w:customStyle="1" w:styleId="15">
    <w:name w:val="Table Text"/>
    <w:basedOn w:val="1"/>
    <w:semiHidden/>
    <w:qFormat/>
    <w:uiPriority w:val="0"/>
    <w:rPr>
      <w:rFonts w:ascii="宋体" w:hAnsi="宋体" w:cs="宋体"/>
      <w:sz w:val="19"/>
      <w:szCs w:val="19"/>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999</Words>
  <Characters>1051</Characters>
  <Lines>6</Lines>
  <Paragraphs>1</Paragraphs>
  <TotalTime>4</TotalTime>
  <ScaleCrop>false</ScaleCrop>
  <LinksUpToDate>false</LinksUpToDate>
  <CharactersWithSpaces>1055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2022-09-14T10:18:00Z</dcterms:created>
  <dc:creator>c</dc:creator>
  <cp:lastModifiedBy>  柚子茶</cp:lastModifiedBy>
  <dcterms:modified xsi:type="dcterms:W3CDTF">2026-09-28T09:22:45Z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BC46F3B4D39E4BE0B7DF0CC14078E424_12</vt:lpwstr>
  </property>
  <property fmtid="{D5CDD505-2E9C-101B-9397-08002B2CF9AE}" pid="4" name="KSOTemplateDocerSaveRecord">
    <vt:lpwstr>eyJoZGlkIjoiYWU1NDNmY2IxYmMyMzRjZjA2YTM3NGEzN2VhMTM1N2YiLCJ1c2VySWQiOiI4OTgwMjI2MDkifQ==</vt:lpwstr>
  </property>
</Properties>
</file>