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3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5"/>
        <w:gridCol w:w="1825"/>
        <w:gridCol w:w="9809"/>
      </w:tblGrid>
      <w:tr w14:paraId="524B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2AC2DCB6">
            <w:pPr>
              <w:spacing w:before="240" w:line="240" w:lineRule="auto"/>
              <w:ind w:left="0" w:leftChars="0" w:right="0" w:rightChars="0" w:firstLine="0" w:firstLineChars="0"/>
              <w:jc w:val="center"/>
              <w:rPr>
                <w:rFonts w:hint="eastAsia" w:eastAsia="宋体" w:cs="Arial"/>
                <w:b/>
                <w:sz w:val="18"/>
                <w:szCs w:val="18"/>
                <w:lang w:val="en-US" w:eastAsia="zh-CN"/>
              </w:rPr>
            </w:pPr>
            <w:r>
              <w:rPr>
                <w:rFonts w:hint="eastAsia" w:cs="Arial"/>
                <w:b/>
                <w:sz w:val="18"/>
                <w:szCs w:val="18"/>
                <w:lang w:val="en-US" w:eastAsia="zh-CN"/>
              </w:rPr>
              <w:t>序号</w:t>
            </w:r>
          </w:p>
        </w:tc>
        <w:tc>
          <w:tcPr>
            <w:tcW w:w="1825" w:type="dxa"/>
            <w:tcBorders>
              <w:top w:val="single" w:color="auto" w:sz="4" w:space="0"/>
              <w:left w:val="single" w:color="auto" w:sz="4" w:space="0"/>
              <w:bottom w:val="single" w:color="auto" w:sz="4" w:space="0"/>
              <w:right w:val="single" w:color="auto" w:sz="4" w:space="0"/>
            </w:tcBorders>
            <w:vAlign w:val="center"/>
          </w:tcPr>
          <w:p w14:paraId="40EE8456">
            <w:pPr>
              <w:spacing w:before="240" w:line="240" w:lineRule="auto"/>
              <w:ind w:left="0" w:leftChars="0" w:right="0" w:rightChars="0" w:firstLine="0" w:firstLineChars="0"/>
              <w:jc w:val="center"/>
              <w:rPr>
                <w:rFonts w:cs="Arial"/>
                <w:b/>
                <w:sz w:val="18"/>
                <w:szCs w:val="18"/>
              </w:rPr>
            </w:pPr>
            <w:r>
              <w:rPr>
                <w:rFonts w:hint="eastAsia" w:cs="Arial"/>
                <w:b/>
                <w:sz w:val="18"/>
                <w:szCs w:val="18"/>
              </w:rPr>
              <w:t>指标项</w:t>
            </w:r>
          </w:p>
        </w:tc>
        <w:tc>
          <w:tcPr>
            <w:tcW w:w="9809" w:type="dxa"/>
            <w:tcBorders>
              <w:top w:val="single" w:color="auto" w:sz="4" w:space="0"/>
              <w:left w:val="single" w:color="auto" w:sz="4" w:space="0"/>
              <w:bottom w:val="single" w:color="auto" w:sz="4" w:space="0"/>
              <w:right w:val="single" w:color="auto" w:sz="4" w:space="0"/>
            </w:tcBorders>
            <w:vAlign w:val="center"/>
          </w:tcPr>
          <w:p w14:paraId="1957A46C">
            <w:pPr>
              <w:spacing w:before="240" w:line="240" w:lineRule="auto"/>
              <w:ind w:left="0" w:leftChars="0" w:right="0" w:rightChars="0" w:firstLine="0" w:firstLineChars="0"/>
              <w:jc w:val="center"/>
              <w:rPr>
                <w:rFonts w:cs="Arial"/>
                <w:b/>
                <w:sz w:val="18"/>
                <w:szCs w:val="18"/>
              </w:rPr>
            </w:pPr>
            <w:r>
              <w:rPr>
                <w:rFonts w:hint="eastAsia" w:cs="Arial"/>
                <w:b/>
                <w:sz w:val="18"/>
                <w:szCs w:val="18"/>
              </w:rPr>
              <w:t>参数要求</w:t>
            </w:r>
          </w:p>
        </w:tc>
      </w:tr>
      <w:tr w14:paraId="0A37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459" w:type="dxa"/>
            <w:gridSpan w:val="3"/>
            <w:tcBorders>
              <w:top w:val="single" w:color="auto" w:sz="4" w:space="0"/>
              <w:left w:val="single" w:color="auto" w:sz="4" w:space="0"/>
              <w:bottom w:val="single" w:color="auto" w:sz="4" w:space="0"/>
              <w:right w:val="single" w:color="auto" w:sz="4" w:space="0"/>
            </w:tcBorders>
            <w:vAlign w:val="center"/>
          </w:tcPr>
          <w:p w14:paraId="619B13B9">
            <w:pPr>
              <w:spacing w:before="240" w:line="240" w:lineRule="auto"/>
              <w:ind w:right="0" w:rightChars="0"/>
              <w:jc w:val="center"/>
              <w:rPr>
                <w:rFonts w:hint="eastAsia" w:eastAsia="宋体" w:cs="Arial"/>
                <w:b/>
                <w:sz w:val="18"/>
                <w:szCs w:val="18"/>
                <w:lang w:val="en-US" w:eastAsia="zh-CN"/>
              </w:rPr>
            </w:pPr>
            <w:r>
              <w:rPr>
                <w:rFonts w:hint="eastAsia" w:cs="Arial"/>
                <w:b/>
                <w:sz w:val="18"/>
                <w:szCs w:val="18"/>
                <w:lang w:val="en-US" w:eastAsia="zh-CN"/>
              </w:rPr>
              <w:t>超融合</w:t>
            </w:r>
          </w:p>
        </w:tc>
      </w:tr>
      <w:tr w14:paraId="2176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66657025">
            <w:pPr>
              <w:spacing w:before="240" w:line="240" w:lineRule="auto"/>
              <w:ind w:left="0" w:leftChars="0" w:right="0" w:rightChars="0" w:firstLine="0" w:firstLineChars="0"/>
              <w:jc w:val="center"/>
              <w:rPr>
                <w:rFonts w:hint="eastAsia" w:eastAsia="宋体" w:cs="Arial"/>
                <w:sz w:val="18"/>
                <w:szCs w:val="18"/>
                <w:lang w:val="en-US" w:eastAsia="zh-CN"/>
              </w:rPr>
            </w:pPr>
            <w:r>
              <w:rPr>
                <w:rFonts w:hint="eastAsia" w:cs="Arial"/>
                <w:sz w:val="18"/>
                <w:szCs w:val="18"/>
                <w:lang w:val="en-US" w:eastAsia="zh-CN"/>
              </w:rPr>
              <w:t>1</w:t>
            </w:r>
          </w:p>
        </w:tc>
        <w:tc>
          <w:tcPr>
            <w:tcW w:w="1825" w:type="dxa"/>
            <w:tcBorders>
              <w:top w:val="single" w:color="auto" w:sz="4" w:space="0"/>
              <w:left w:val="single" w:color="auto" w:sz="4" w:space="0"/>
              <w:bottom w:val="single" w:color="auto" w:sz="4" w:space="0"/>
              <w:right w:val="single" w:color="auto" w:sz="4" w:space="0"/>
            </w:tcBorders>
            <w:vAlign w:val="center"/>
          </w:tcPr>
          <w:p w14:paraId="42897B66">
            <w:pPr>
              <w:spacing w:before="240" w:line="240" w:lineRule="auto"/>
              <w:ind w:left="0" w:leftChars="0" w:right="0" w:rightChars="0" w:firstLine="0" w:firstLineChars="0"/>
              <w:jc w:val="center"/>
              <w:rPr>
                <w:rFonts w:hint="eastAsia" w:cs="Arial"/>
                <w:b/>
                <w:sz w:val="18"/>
                <w:szCs w:val="18"/>
              </w:rPr>
            </w:pPr>
            <w:r>
              <w:rPr>
                <w:rFonts w:hint="eastAsia" w:cs="Arial"/>
                <w:sz w:val="18"/>
                <w:szCs w:val="18"/>
              </w:rPr>
              <w:t>配置要求</w:t>
            </w:r>
          </w:p>
        </w:tc>
        <w:tc>
          <w:tcPr>
            <w:tcW w:w="9809" w:type="dxa"/>
            <w:tcBorders>
              <w:top w:val="single" w:color="auto" w:sz="4" w:space="0"/>
              <w:left w:val="single" w:color="auto" w:sz="4" w:space="0"/>
              <w:bottom w:val="single" w:color="auto" w:sz="4" w:space="0"/>
              <w:right w:val="single" w:color="auto" w:sz="4" w:space="0"/>
            </w:tcBorders>
            <w:vAlign w:val="center"/>
          </w:tcPr>
          <w:p w14:paraId="2F4FBF9D">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rFonts w:hint="eastAsia"/>
                <w:sz w:val="18"/>
                <w:szCs w:val="18"/>
              </w:rPr>
            </w:pPr>
            <w:r>
              <w:rPr>
                <w:rFonts w:hint="eastAsia"/>
                <w:sz w:val="18"/>
                <w:szCs w:val="18"/>
              </w:rPr>
              <w:t>机架式2U服务器，处理器Intel</w:t>
            </w:r>
            <w:r>
              <w:rPr>
                <w:rFonts w:hint="eastAsia"/>
                <w:sz w:val="18"/>
                <w:szCs w:val="18"/>
                <w:lang w:val="en-US" w:eastAsia="zh-CN"/>
              </w:rPr>
              <w:t xml:space="preserve"> </w:t>
            </w:r>
            <w:r>
              <w:rPr>
                <w:rFonts w:hint="eastAsia"/>
                <w:sz w:val="18"/>
                <w:szCs w:val="18"/>
              </w:rPr>
              <w:t>Gold</w:t>
            </w:r>
            <w:r>
              <w:rPr>
                <w:rFonts w:hint="eastAsia"/>
                <w:sz w:val="18"/>
                <w:szCs w:val="18"/>
                <w:lang w:val="en-US" w:eastAsia="zh-CN"/>
              </w:rPr>
              <w:t xml:space="preserve"> </w:t>
            </w:r>
            <w:r>
              <w:rPr>
                <w:rFonts w:hint="eastAsia"/>
                <w:sz w:val="18"/>
                <w:szCs w:val="18"/>
              </w:rPr>
              <w:t>6330(28C、2.0GHz)*2颗，内存</w:t>
            </w:r>
            <w:r>
              <w:rPr>
                <w:rFonts w:hint="eastAsia"/>
                <w:sz w:val="18"/>
                <w:szCs w:val="18"/>
                <w:lang w:val="en-US" w:eastAsia="zh-CN"/>
              </w:rPr>
              <w:t>≥</w:t>
            </w:r>
            <w:r>
              <w:rPr>
                <w:rFonts w:hint="eastAsia"/>
                <w:sz w:val="18"/>
                <w:szCs w:val="18"/>
              </w:rPr>
              <w:t>256GB，配置480G SATA SSD</w:t>
            </w:r>
            <w:r>
              <w:rPr>
                <w:rFonts w:hint="eastAsia"/>
                <w:sz w:val="18"/>
                <w:szCs w:val="18"/>
                <w:lang w:val="en-US" w:eastAsia="zh-CN"/>
              </w:rPr>
              <w:t>≥</w:t>
            </w:r>
            <w:r>
              <w:rPr>
                <w:rFonts w:hint="eastAsia"/>
                <w:sz w:val="18"/>
                <w:szCs w:val="18"/>
              </w:rPr>
              <w:t>2块，12TB SATA硬盘企业级</w:t>
            </w:r>
            <w:r>
              <w:rPr>
                <w:rFonts w:hint="eastAsia"/>
                <w:sz w:val="18"/>
                <w:szCs w:val="18"/>
                <w:lang w:val="en-US" w:eastAsia="zh-CN"/>
              </w:rPr>
              <w:t>≥</w:t>
            </w:r>
            <w:r>
              <w:rPr>
                <w:rFonts w:hint="eastAsia"/>
                <w:sz w:val="18"/>
                <w:szCs w:val="18"/>
              </w:rPr>
              <w:t>2块，网络接口</w:t>
            </w:r>
            <w:r>
              <w:rPr>
                <w:rFonts w:hint="eastAsia"/>
                <w:sz w:val="18"/>
                <w:szCs w:val="18"/>
                <w:lang w:val="en-US" w:eastAsia="zh-CN"/>
              </w:rPr>
              <w:t>≥</w:t>
            </w:r>
            <w:r>
              <w:rPr>
                <w:rFonts w:hint="eastAsia"/>
                <w:sz w:val="18"/>
                <w:szCs w:val="18"/>
              </w:rPr>
              <w:t>4个千兆电口，</w:t>
            </w:r>
            <w:r>
              <w:rPr>
                <w:rFonts w:hint="eastAsia"/>
                <w:sz w:val="18"/>
                <w:szCs w:val="18"/>
                <w:lang w:val="en-US" w:eastAsia="zh-CN"/>
              </w:rPr>
              <w:t>≥</w:t>
            </w:r>
            <w:r>
              <w:rPr>
                <w:rFonts w:hint="eastAsia"/>
                <w:sz w:val="18"/>
                <w:szCs w:val="18"/>
              </w:rPr>
              <w:t>2个万兆光口，冗余电源。含计算虚拟化专业版、存储虚拟化专业版、网络虚拟化专业版、统一云管平台高级版功能授权。</w:t>
            </w:r>
          </w:p>
        </w:tc>
      </w:tr>
      <w:tr w14:paraId="23344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1"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06BF2F43">
            <w:pPr>
              <w:spacing w:line="240" w:lineRule="auto"/>
              <w:ind w:left="0" w:leftChars="0" w:right="0" w:rightChars="0" w:firstLine="0" w:firstLineChars="0"/>
              <w:jc w:val="center"/>
              <w:rPr>
                <w:rFonts w:hint="eastAsia" w:eastAsia="宋体" w:cs="Arial"/>
                <w:sz w:val="18"/>
                <w:szCs w:val="18"/>
                <w:lang w:val="en-US" w:eastAsia="zh-CN"/>
              </w:rPr>
            </w:pPr>
            <w:r>
              <w:rPr>
                <w:rFonts w:hint="eastAsia" w:cs="Arial"/>
                <w:sz w:val="18"/>
                <w:szCs w:val="18"/>
                <w:lang w:val="en-US" w:eastAsia="zh-CN"/>
              </w:rPr>
              <w:t>2</w:t>
            </w:r>
          </w:p>
        </w:tc>
        <w:tc>
          <w:tcPr>
            <w:tcW w:w="1825" w:type="dxa"/>
            <w:tcBorders>
              <w:top w:val="single" w:color="auto" w:sz="4" w:space="0"/>
              <w:left w:val="single" w:color="auto" w:sz="4" w:space="0"/>
              <w:bottom w:val="single" w:color="auto" w:sz="4" w:space="0"/>
              <w:right w:val="single" w:color="auto" w:sz="4" w:space="0"/>
            </w:tcBorders>
            <w:vAlign w:val="center"/>
          </w:tcPr>
          <w:p w14:paraId="349A2FD7">
            <w:pPr>
              <w:spacing w:line="240" w:lineRule="auto"/>
              <w:ind w:left="0" w:leftChars="0" w:right="0" w:rightChars="0" w:firstLine="0" w:firstLineChars="0"/>
              <w:jc w:val="center"/>
              <w:rPr>
                <w:rFonts w:cs="Arial"/>
                <w:sz w:val="18"/>
                <w:szCs w:val="18"/>
              </w:rPr>
            </w:pPr>
            <w:r>
              <w:rPr>
                <w:rFonts w:hint="eastAsia" w:cs="Arial"/>
                <w:sz w:val="18"/>
                <w:szCs w:val="18"/>
              </w:rPr>
              <w:t>管理平台</w:t>
            </w:r>
          </w:p>
        </w:tc>
        <w:tc>
          <w:tcPr>
            <w:tcW w:w="9809" w:type="dxa"/>
            <w:tcBorders>
              <w:top w:val="single" w:color="auto" w:sz="4" w:space="0"/>
              <w:left w:val="single" w:color="auto" w:sz="4" w:space="0"/>
              <w:bottom w:val="single" w:color="auto" w:sz="4" w:space="0"/>
              <w:right w:val="single" w:color="auto" w:sz="4" w:space="0"/>
            </w:tcBorders>
            <w:vAlign w:val="center"/>
          </w:tcPr>
          <w:p w14:paraId="3B2A9E24">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rFonts w:hint="default"/>
                <w:sz w:val="18"/>
                <w:szCs w:val="18"/>
                <w:lang w:val="en-US"/>
              </w:rPr>
            </w:pPr>
            <w:r>
              <w:rPr>
                <w:sz w:val="18"/>
                <w:szCs w:val="18"/>
              </w:rPr>
              <w:t>1</w:t>
            </w:r>
            <w:r>
              <w:rPr>
                <w:rFonts w:hint="eastAsia"/>
                <w:sz w:val="18"/>
                <w:szCs w:val="18"/>
              </w:rPr>
              <w:t>、超融合的管理平台软件完全自主研发，</w:t>
            </w:r>
            <w:r>
              <w:rPr>
                <w:sz w:val="18"/>
                <w:szCs w:val="18"/>
              </w:rPr>
              <w:t>非借用第三方软件进行的包装整合，同时为保障超融合产品的核心功能模块为厂商自主原创，超融合系统核心功能模块应</w:t>
            </w:r>
            <w:r>
              <w:rPr>
                <w:rFonts w:hint="eastAsia"/>
                <w:sz w:val="18"/>
                <w:szCs w:val="18"/>
                <w:lang w:val="en-US" w:eastAsia="zh-CN"/>
              </w:rPr>
              <w:t>通过中国信息安全测评中心的自主原创产品测评，提供证书并加盖厂商公章。</w:t>
            </w:r>
          </w:p>
          <w:p w14:paraId="5E1D267B">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2</w:t>
            </w:r>
            <w:r>
              <w:rPr>
                <w:rFonts w:hint="eastAsia"/>
                <w:sz w:val="18"/>
                <w:szCs w:val="18"/>
              </w:rPr>
              <w:t>、支持超融合平台与现有生产环境的虚拟化平台做到无缝集成，统一在一个管理平台界面实现日常管理和运维。</w:t>
            </w:r>
          </w:p>
          <w:p w14:paraId="07F04360">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3</w:t>
            </w:r>
            <w:r>
              <w:rPr>
                <w:rFonts w:hint="eastAsia"/>
                <w:sz w:val="18"/>
                <w:szCs w:val="18"/>
              </w:rPr>
              <w:t>、支持服务器节点退役功能，退役主机的数据自动迁移至其它正常服务器节点，支持服务器节点维护模式，维护过程中不会触发数据重构机制，保证集群存储性能最佳。</w:t>
            </w:r>
          </w:p>
          <w:p w14:paraId="24CF2E05">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rFonts w:hint="eastAsia"/>
                <w:sz w:val="18"/>
                <w:szCs w:val="18"/>
              </w:rPr>
              <w:t>4、支持基于W</w:t>
            </w:r>
            <w:r>
              <w:rPr>
                <w:sz w:val="18"/>
                <w:szCs w:val="18"/>
              </w:rPr>
              <w:t>EB界面快速扩容计算和存储节点，</w:t>
            </w:r>
            <w:r>
              <w:rPr>
                <w:rFonts w:hint="eastAsia"/>
                <w:sz w:val="18"/>
                <w:szCs w:val="18"/>
              </w:rPr>
              <w:t>可</w:t>
            </w:r>
            <w:r>
              <w:rPr>
                <w:sz w:val="18"/>
                <w:szCs w:val="18"/>
              </w:rPr>
              <w:t>通过扫描主机或者手动添加的方式增加主机，扩大集群功能，支持基于界面自定义物理主机角色，角色包括计算角色、数据角色、接入角色、共享角色</w:t>
            </w:r>
            <w:r>
              <w:rPr>
                <w:rFonts w:hint="eastAsia"/>
                <w:sz w:val="18"/>
                <w:szCs w:val="18"/>
              </w:rPr>
              <w:t>。</w:t>
            </w:r>
          </w:p>
          <w:p w14:paraId="204E3EA3">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rFonts w:hint="eastAsia"/>
                <w:sz w:val="18"/>
                <w:szCs w:val="18"/>
              </w:rPr>
            </w:pPr>
            <w:r>
              <w:rPr>
                <w:rFonts w:hint="eastAsia"/>
                <w:sz w:val="18"/>
                <w:szCs w:val="18"/>
              </w:rPr>
              <w:t>5、</w:t>
            </w:r>
            <w:r>
              <w:rPr>
                <w:rFonts w:hint="eastAsia"/>
                <w:sz w:val="18"/>
                <w:szCs w:val="18"/>
                <w:lang w:val="en-US" w:eastAsia="zh-CN"/>
              </w:rPr>
              <w:t>支持</w:t>
            </w:r>
            <w:r>
              <w:rPr>
                <w:rFonts w:hint="eastAsia"/>
                <w:sz w:val="18"/>
                <w:szCs w:val="18"/>
              </w:rPr>
              <w:t>一定时期内强制修改登录密码功能</w:t>
            </w:r>
            <w:r>
              <w:rPr>
                <w:rFonts w:hint="eastAsia"/>
                <w:sz w:val="18"/>
                <w:szCs w:val="18"/>
                <w:lang w:eastAsia="zh-CN"/>
              </w:rPr>
              <w:t>、</w:t>
            </w:r>
            <w:r>
              <w:rPr>
                <w:rFonts w:hint="eastAsia"/>
                <w:sz w:val="18"/>
                <w:szCs w:val="18"/>
                <w:lang w:val="en-US" w:eastAsia="zh-CN"/>
              </w:rPr>
              <w:t>账号登录防暴力破解，</w:t>
            </w:r>
            <w:r>
              <w:rPr>
                <w:rFonts w:hint="eastAsia"/>
                <w:sz w:val="18"/>
                <w:szCs w:val="18"/>
              </w:rPr>
              <w:t>并能配置开启或关闭该功能；系统界面会话保持自动过期，并可配置过期时间。</w:t>
            </w:r>
          </w:p>
          <w:p w14:paraId="05036948">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rFonts w:hint="eastAsia" w:ascii="宋体" w:hAnsi="Times New Roman" w:eastAsia="宋体" w:cs="Times New Roman"/>
                <w:sz w:val="18"/>
                <w:szCs w:val="18"/>
                <w:lang w:eastAsia="zh-CN"/>
              </w:rPr>
            </w:pPr>
            <w:r>
              <w:rPr>
                <w:rFonts w:hint="eastAsia" w:ascii="宋体" w:hAnsi="Times New Roman" w:eastAsia="宋体" w:cs="Times New Roman"/>
                <w:sz w:val="18"/>
                <w:szCs w:val="18"/>
                <w:lang w:val="en-US" w:eastAsia="zh-CN"/>
              </w:rPr>
              <w:t>6、</w:t>
            </w:r>
            <w:r>
              <w:rPr>
                <w:rFonts w:hint="eastAsia" w:ascii="宋体" w:hAnsi="Times New Roman" w:eastAsia="宋体" w:cs="Times New Roman"/>
                <w:sz w:val="18"/>
                <w:szCs w:val="18"/>
              </w:rPr>
              <w:t>支持镜像管理功能，应支持多种文件格式</w:t>
            </w:r>
            <w:r>
              <w:rPr>
                <w:rFonts w:hint="eastAsia" w:ascii="宋体" w:hAnsi="Times New Roman" w:eastAsia="宋体" w:cs="Times New Roman"/>
                <w:sz w:val="18"/>
                <w:szCs w:val="18"/>
                <w:lang w:val="en-US" w:eastAsia="zh-CN"/>
              </w:rPr>
              <w:t>镜像，包括但不限于</w:t>
            </w:r>
            <w:r>
              <w:rPr>
                <w:rFonts w:hint="eastAsia" w:ascii="宋体" w:hAnsi="Times New Roman" w:eastAsia="宋体" w:cs="Times New Roman"/>
                <w:sz w:val="18"/>
                <w:szCs w:val="18"/>
              </w:rPr>
              <w:t>iso、vfd、raw、img、qcow2、vmdk、vpc、vdi、qed、ova、tva等类型，可对镜像文件进行上传、下载、修改、删除等操作</w:t>
            </w:r>
            <w:r>
              <w:rPr>
                <w:rFonts w:hint="eastAsia" w:ascii="宋体" w:hAnsi="Times New Roman" w:eastAsia="宋体" w:cs="Times New Roman"/>
                <w:sz w:val="18"/>
                <w:szCs w:val="18"/>
                <w:lang w:eastAsia="zh-CN"/>
              </w:rPr>
              <w:t>。</w:t>
            </w:r>
          </w:p>
          <w:p w14:paraId="2BDB9D74">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rFonts w:hint="eastAsia"/>
                <w:sz w:val="18"/>
                <w:szCs w:val="18"/>
              </w:rPr>
              <w:t>★ 6、支持分布式电源管理功能，</w:t>
            </w:r>
            <w:r>
              <w:rPr>
                <w:sz w:val="18"/>
                <w:szCs w:val="18"/>
              </w:rPr>
              <w:t>根据集群内主机资源负载情况，在不影响业务的情况下实现自动的服务器开、关机，达到能源效率和资源分配，节省电力和制冷开支</w:t>
            </w:r>
            <w:r>
              <w:rPr>
                <w:rFonts w:hint="eastAsia"/>
                <w:sz w:val="18"/>
                <w:szCs w:val="18"/>
              </w:rPr>
              <w:t>（提供产品截图并加盖公章）。</w:t>
            </w:r>
          </w:p>
        </w:tc>
      </w:tr>
      <w:tr w14:paraId="4801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7AAE0426">
            <w:pPr>
              <w:spacing w:before="240" w:line="240" w:lineRule="auto"/>
              <w:ind w:left="0" w:leftChars="0" w:right="0" w:rightChars="0" w:firstLine="0" w:firstLineChars="0"/>
              <w:jc w:val="center"/>
              <w:rPr>
                <w:rFonts w:hint="eastAsia" w:eastAsia="宋体" w:cs="Arial"/>
                <w:sz w:val="18"/>
                <w:szCs w:val="18"/>
                <w:lang w:val="en-US" w:eastAsia="zh-CN"/>
              </w:rPr>
            </w:pPr>
            <w:r>
              <w:rPr>
                <w:rFonts w:hint="eastAsia" w:cs="Arial"/>
                <w:sz w:val="18"/>
                <w:szCs w:val="18"/>
                <w:lang w:val="en-US" w:eastAsia="zh-CN"/>
              </w:rPr>
              <w:t>3</w:t>
            </w:r>
          </w:p>
        </w:tc>
        <w:tc>
          <w:tcPr>
            <w:tcW w:w="1825" w:type="dxa"/>
            <w:tcBorders>
              <w:top w:val="single" w:color="auto" w:sz="4" w:space="0"/>
              <w:left w:val="single" w:color="auto" w:sz="4" w:space="0"/>
              <w:bottom w:val="single" w:color="auto" w:sz="4" w:space="0"/>
              <w:right w:val="single" w:color="auto" w:sz="4" w:space="0"/>
            </w:tcBorders>
            <w:vAlign w:val="center"/>
          </w:tcPr>
          <w:p w14:paraId="3172266F">
            <w:pPr>
              <w:spacing w:before="240" w:line="240" w:lineRule="auto"/>
              <w:ind w:left="0" w:leftChars="0" w:right="0" w:rightChars="0" w:firstLine="0" w:firstLineChars="0"/>
              <w:jc w:val="center"/>
              <w:rPr>
                <w:rFonts w:hint="eastAsia" w:cs="Arial"/>
                <w:sz w:val="18"/>
                <w:szCs w:val="18"/>
              </w:rPr>
            </w:pPr>
            <w:r>
              <w:rPr>
                <w:rFonts w:hint="eastAsia" w:cs="Arial"/>
                <w:sz w:val="18"/>
                <w:szCs w:val="18"/>
              </w:rPr>
              <w:t>计算虚拟化</w:t>
            </w:r>
          </w:p>
        </w:tc>
        <w:tc>
          <w:tcPr>
            <w:tcW w:w="9809" w:type="dxa"/>
            <w:tcBorders>
              <w:top w:val="single" w:color="auto" w:sz="4" w:space="0"/>
              <w:left w:val="single" w:color="auto" w:sz="4" w:space="0"/>
              <w:bottom w:val="single" w:color="auto" w:sz="4" w:space="0"/>
              <w:right w:val="single" w:color="auto" w:sz="4" w:space="0"/>
            </w:tcBorders>
            <w:vAlign w:val="center"/>
          </w:tcPr>
          <w:p w14:paraId="2522E230">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1</w:t>
            </w:r>
            <w:r>
              <w:rPr>
                <w:rFonts w:hint="eastAsia"/>
                <w:sz w:val="18"/>
                <w:szCs w:val="18"/>
              </w:rPr>
              <w:t>、支持云服务器全生命周期管理，包括创建、启动、重启、安全重启、暂停挂起、恢复、休眠、关闭、安全关闭、删除、更换和重置操作系统，支持云服务器的排序、搜索和筛选过滤功能，满足日常运维需求操作。</w:t>
            </w:r>
          </w:p>
          <w:p w14:paraId="33490214">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rFonts w:hint="eastAsia"/>
                <w:sz w:val="18"/>
                <w:szCs w:val="18"/>
              </w:rPr>
              <w:t>★2、支持云服务器级别副本设置，可以针对不同场景给不同云服务器设置不同数量副本，提升灵活性。</w:t>
            </w:r>
            <w:r>
              <w:rPr>
                <w:rFonts w:hint="eastAsia"/>
                <w:sz w:val="18"/>
                <w:szCs w:val="18"/>
                <w:lang w:val="en-US" w:eastAsia="zh-CN"/>
              </w:rPr>
              <w:t>支持副本个数在1-5之间进行选择</w:t>
            </w:r>
            <w:r>
              <w:rPr>
                <w:rFonts w:hint="eastAsia"/>
                <w:sz w:val="18"/>
                <w:szCs w:val="18"/>
              </w:rPr>
              <w:t>设置</w:t>
            </w:r>
            <w:r>
              <w:rPr>
                <w:sz w:val="18"/>
                <w:szCs w:val="18"/>
              </w:rPr>
              <w:t>，并可以支持动态在线增加和删除副本</w:t>
            </w:r>
            <w:r>
              <w:rPr>
                <w:rFonts w:hint="eastAsia"/>
                <w:sz w:val="18"/>
                <w:szCs w:val="18"/>
              </w:rPr>
              <w:t>（提供产品截图并加盖公章）。</w:t>
            </w:r>
          </w:p>
          <w:p w14:paraId="2036B50E">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3</w:t>
            </w:r>
            <w:r>
              <w:rPr>
                <w:rFonts w:hint="eastAsia"/>
                <w:sz w:val="18"/>
                <w:szCs w:val="18"/>
              </w:rPr>
              <w:t>、支持云服务器存储链路冗余设置，可以设置多条访问存储卷的链路，提升云服务器访问存储的可靠性和性能。</w:t>
            </w:r>
          </w:p>
          <w:p w14:paraId="5EF1B5DB">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4</w:t>
            </w:r>
            <w:r>
              <w:rPr>
                <w:rFonts w:hint="eastAsia"/>
                <w:sz w:val="18"/>
                <w:szCs w:val="18"/>
              </w:rPr>
              <w:t>、支持主流</w:t>
            </w:r>
            <w:r>
              <w:rPr>
                <w:sz w:val="18"/>
                <w:szCs w:val="18"/>
              </w:rPr>
              <w:t>Linux/Windows以及国产操作系统云服务器的内部负载实时监控，包括操作系统版本、CPU使用率、内存使用情况、网络流量、系统磁盘数量、磁盘分区、磁盘使用率、系统进程及系统连接数量</w:t>
            </w:r>
            <w:r>
              <w:rPr>
                <w:rFonts w:hint="eastAsia"/>
                <w:sz w:val="18"/>
                <w:szCs w:val="18"/>
              </w:rPr>
              <w:t>。</w:t>
            </w:r>
          </w:p>
          <w:p w14:paraId="50401FE4">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5</w:t>
            </w:r>
            <w:r>
              <w:rPr>
                <w:rFonts w:hint="eastAsia"/>
                <w:sz w:val="18"/>
                <w:szCs w:val="18"/>
              </w:rPr>
              <w:t>、支持蓝屏检测技术，通过界面记录云服务器重新拉起过程，包括故障、蓝屏、</w:t>
            </w:r>
            <w:r>
              <w:rPr>
                <w:sz w:val="18"/>
                <w:szCs w:val="18"/>
              </w:rPr>
              <w:t>HA等过程，可在云服务器详情日志页面里面查看详情</w:t>
            </w:r>
            <w:r>
              <w:rPr>
                <w:rFonts w:hint="eastAsia"/>
                <w:sz w:val="18"/>
                <w:szCs w:val="18"/>
              </w:rPr>
              <w:t>。在发生意外故障导致的云服务器停机时，具备将云服务器奔溃前最后一屏报错信息代码进行截图的功能，为后续排错提供依据。</w:t>
            </w:r>
          </w:p>
          <w:p w14:paraId="03394B11">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rFonts w:hint="eastAsia"/>
                <w:color w:val="FF0000"/>
                <w:sz w:val="18"/>
                <w:szCs w:val="18"/>
              </w:rPr>
            </w:pPr>
            <w:r>
              <w:rPr>
                <w:rFonts w:hint="eastAsia"/>
                <w:sz w:val="18"/>
                <w:szCs w:val="18"/>
              </w:rPr>
              <w:t>★6、支持删除云服务器时将云服务器先移入回收站，在回收站进行删除时存储卷数据清零功能，杜绝云服务器</w:t>
            </w:r>
            <w:r>
              <w:rPr>
                <w:sz w:val="18"/>
                <w:szCs w:val="18"/>
              </w:rPr>
              <w:t>/存储卷销毁后的数据残留导致的敏感数据泄露问题，提升安全性</w:t>
            </w:r>
            <w:r>
              <w:rPr>
                <w:rFonts w:hint="eastAsia"/>
                <w:sz w:val="18"/>
                <w:szCs w:val="18"/>
              </w:rPr>
              <w:t>（提供产品截图并加盖公章）。</w:t>
            </w:r>
          </w:p>
        </w:tc>
      </w:tr>
      <w:tr w14:paraId="046A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1B91EF69">
            <w:pPr>
              <w:spacing w:before="240" w:line="240" w:lineRule="auto"/>
              <w:ind w:left="0" w:leftChars="0" w:right="0" w:rightChars="0" w:firstLine="0" w:firstLineChars="0"/>
              <w:jc w:val="center"/>
              <w:rPr>
                <w:rFonts w:hint="eastAsia" w:eastAsia="宋体" w:cs="Arial"/>
                <w:sz w:val="18"/>
                <w:szCs w:val="18"/>
                <w:lang w:val="en-US" w:eastAsia="zh-CN"/>
              </w:rPr>
            </w:pPr>
            <w:r>
              <w:rPr>
                <w:rFonts w:hint="eastAsia" w:cs="Arial"/>
                <w:sz w:val="18"/>
                <w:szCs w:val="18"/>
                <w:lang w:val="en-US" w:eastAsia="zh-CN"/>
              </w:rPr>
              <w:t>4</w:t>
            </w:r>
          </w:p>
        </w:tc>
        <w:tc>
          <w:tcPr>
            <w:tcW w:w="1825" w:type="dxa"/>
            <w:tcBorders>
              <w:top w:val="single" w:color="auto" w:sz="4" w:space="0"/>
              <w:left w:val="single" w:color="auto" w:sz="4" w:space="0"/>
              <w:bottom w:val="single" w:color="auto" w:sz="4" w:space="0"/>
              <w:right w:val="single" w:color="auto" w:sz="4" w:space="0"/>
            </w:tcBorders>
            <w:vAlign w:val="center"/>
          </w:tcPr>
          <w:p w14:paraId="3043007E">
            <w:pPr>
              <w:spacing w:before="240" w:line="240" w:lineRule="auto"/>
              <w:ind w:left="0" w:leftChars="0" w:right="0" w:rightChars="0" w:firstLine="0" w:firstLineChars="0"/>
              <w:jc w:val="center"/>
              <w:rPr>
                <w:rFonts w:hint="eastAsia" w:cs="Arial"/>
                <w:sz w:val="18"/>
                <w:szCs w:val="18"/>
              </w:rPr>
            </w:pPr>
            <w:r>
              <w:rPr>
                <w:rFonts w:hint="eastAsia" w:cs="Arial"/>
                <w:sz w:val="18"/>
                <w:szCs w:val="18"/>
              </w:rPr>
              <w:t>存储虚拟化</w:t>
            </w:r>
          </w:p>
        </w:tc>
        <w:tc>
          <w:tcPr>
            <w:tcW w:w="9809" w:type="dxa"/>
            <w:tcBorders>
              <w:top w:val="single" w:color="auto" w:sz="4" w:space="0"/>
              <w:left w:val="single" w:color="auto" w:sz="4" w:space="0"/>
              <w:bottom w:val="single" w:color="auto" w:sz="4" w:space="0"/>
              <w:right w:val="single" w:color="auto" w:sz="4" w:space="0"/>
            </w:tcBorders>
            <w:vAlign w:val="center"/>
          </w:tcPr>
          <w:p w14:paraId="20E46CB7">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1</w:t>
            </w:r>
            <w:r>
              <w:rPr>
                <w:rFonts w:hint="eastAsia"/>
                <w:sz w:val="18"/>
                <w:szCs w:val="18"/>
              </w:rPr>
              <w:t>、支持文件存储、块存储、对象存储服务，可以向外部系统提供对象存储服务，块存储支持但不限于</w:t>
            </w:r>
            <w:r>
              <w:rPr>
                <w:sz w:val="18"/>
                <w:szCs w:val="18"/>
              </w:rPr>
              <w:t>SCSI及iSCSI接口,支持iSCSI加密传输；文件存储支持</w:t>
            </w:r>
            <w:r>
              <w:rPr>
                <w:rFonts w:hint="eastAsia"/>
                <w:sz w:val="18"/>
                <w:szCs w:val="18"/>
              </w:rPr>
              <w:t>但不限于</w:t>
            </w:r>
            <w:r>
              <w:rPr>
                <w:sz w:val="18"/>
                <w:szCs w:val="18"/>
              </w:rPr>
              <w:t>CIFS及NFS接口；对象存储支持</w:t>
            </w:r>
            <w:r>
              <w:rPr>
                <w:rFonts w:hint="eastAsia"/>
                <w:sz w:val="18"/>
                <w:szCs w:val="18"/>
              </w:rPr>
              <w:t>但不限于</w:t>
            </w:r>
            <w:r>
              <w:rPr>
                <w:sz w:val="18"/>
                <w:szCs w:val="18"/>
              </w:rPr>
              <w:t>S3及Swift接口，</w:t>
            </w:r>
            <w:r>
              <w:rPr>
                <w:rFonts w:hint="eastAsia"/>
                <w:sz w:val="18"/>
                <w:szCs w:val="18"/>
              </w:rPr>
              <w:t>同时</w:t>
            </w:r>
            <w:r>
              <w:rPr>
                <w:sz w:val="18"/>
                <w:szCs w:val="18"/>
              </w:rPr>
              <w:t>支持SSL加密传输</w:t>
            </w:r>
            <w:r>
              <w:rPr>
                <w:rFonts w:hint="eastAsia"/>
                <w:sz w:val="18"/>
                <w:szCs w:val="18"/>
              </w:rPr>
              <w:t>及</w:t>
            </w:r>
            <w:r>
              <w:rPr>
                <w:sz w:val="18"/>
                <w:szCs w:val="18"/>
              </w:rPr>
              <w:t>存储的QoS设置</w:t>
            </w:r>
            <w:r>
              <w:rPr>
                <w:rFonts w:hint="eastAsia"/>
                <w:sz w:val="18"/>
                <w:szCs w:val="18"/>
              </w:rPr>
              <w:t>。</w:t>
            </w:r>
          </w:p>
          <w:p w14:paraId="762B75F4">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rFonts w:hint="eastAsia"/>
                <w:sz w:val="18"/>
                <w:szCs w:val="18"/>
              </w:rPr>
              <w:t>★2、支持存储卷的数据块副本图形显示和操作的功能，可以监控数据块的当前状态，按需迁移数据块所在的主机和磁盘，可以指定数据块副本的读取优先级（提供产品截图并加盖公章）。</w:t>
            </w:r>
          </w:p>
          <w:p w14:paraId="7C590ACC">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3</w:t>
            </w:r>
            <w:r>
              <w:rPr>
                <w:rFonts w:hint="eastAsia"/>
                <w:sz w:val="18"/>
                <w:szCs w:val="18"/>
              </w:rPr>
              <w:t>、为方便超融合平台用户文件的共享与访问，提升文件的管理效率，需具备网盘功能，此功能无需额外购买授权即可使用。</w:t>
            </w:r>
          </w:p>
          <w:p w14:paraId="4AF14900">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rFonts w:hint="eastAsia"/>
                <w:sz w:val="18"/>
                <w:szCs w:val="18"/>
              </w:rPr>
            </w:pPr>
            <w:r>
              <w:rPr>
                <w:sz w:val="18"/>
                <w:szCs w:val="18"/>
              </w:rPr>
              <w:t>4</w:t>
            </w:r>
            <w:r>
              <w:rPr>
                <w:rFonts w:hint="eastAsia"/>
                <w:sz w:val="18"/>
                <w:szCs w:val="18"/>
              </w:rPr>
              <w:t>、支持基于存储卷级别的灵活副本设定，可以针对不同场景及业务重要级别对不同的存储卷灵活配置不同级别的副本数，</w:t>
            </w:r>
            <w:r>
              <w:rPr>
                <w:sz w:val="18"/>
                <w:szCs w:val="18"/>
              </w:rPr>
              <w:t>支持动态在线增加和删除副本，不需停机即可操作。</w:t>
            </w:r>
          </w:p>
          <w:p w14:paraId="5AC1F570">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5</w:t>
            </w:r>
            <w:r>
              <w:rPr>
                <w:rFonts w:hint="eastAsia"/>
                <w:sz w:val="18"/>
                <w:szCs w:val="18"/>
              </w:rPr>
              <w:t>、支持数据的全链路加密传输，从应用接收到数据后立刻完成数据加密，直到数据最终以加密的形式存储于硬盘中。加密包括传输加密和全盘数据加密，保证敏感数据不会被外部黑客窃取和硬盘遗失或者维护过程中数据不被泄露。</w:t>
            </w:r>
          </w:p>
          <w:p w14:paraId="1576AA28">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color w:val="FF0000"/>
                <w:sz w:val="18"/>
                <w:szCs w:val="18"/>
              </w:rPr>
            </w:pPr>
            <w:r>
              <w:rPr>
                <w:rFonts w:hint="eastAsia"/>
                <w:sz w:val="18"/>
                <w:szCs w:val="18"/>
              </w:rPr>
              <w:t>6、支持存储数据卷安全分级管理，安全级别可设置弱一致、强一致、最终一致，可对存储卷进行权限控制，可以配置存储卷的只读、读写权限，提升安全性，提升访问效率</w:t>
            </w:r>
            <w:r>
              <w:rPr>
                <w:sz w:val="18"/>
                <w:szCs w:val="18"/>
              </w:rPr>
              <w:t>。</w:t>
            </w:r>
          </w:p>
        </w:tc>
      </w:tr>
      <w:tr w14:paraId="6A7C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02A15D36">
            <w:pPr>
              <w:spacing w:before="240" w:line="240" w:lineRule="auto"/>
              <w:ind w:left="0" w:leftChars="0" w:right="0" w:rightChars="0" w:firstLine="0" w:firstLineChars="0"/>
              <w:jc w:val="center"/>
              <w:rPr>
                <w:rFonts w:hint="eastAsia" w:eastAsia="宋体" w:cs="Arial"/>
                <w:sz w:val="18"/>
                <w:szCs w:val="18"/>
                <w:lang w:val="en-US" w:eastAsia="zh-CN"/>
              </w:rPr>
            </w:pPr>
            <w:r>
              <w:rPr>
                <w:rFonts w:hint="eastAsia" w:cs="Arial"/>
                <w:sz w:val="18"/>
                <w:szCs w:val="18"/>
                <w:lang w:val="en-US" w:eastAsia="zh-CN"/>
              </w:rPr>
              <w:t>5</w:t>
            </w:r>
          </w:p>
        </w:tc>
        <w:tc>
          <w:tcPr>
            <w:tcW w:w="1825" w:type="dxa"/>
            <w:tcBorders>
              <w:top w:val="single" w:color="auto" w:sz="4" w:space="0"/>
              <w:left w:val="single" w:color="auto" w:sz="4" w:space="0"/>
              <w:bottom w:val="single" w:color="auto" w:sz="4" w:space="0"/>
              <w:right w:val="single" w:color="auto" w:sz="4" w:space="0"/>
            </w:tcBorders>
            <w:vAlign w:val="center"/>
          </w:tcPr>
          <w:p w14:paraId="4B891D97">
            <w:pPr>
              <w:spacing w:before="240" w:line="240" w:lineRule="auto"/>
              <w:ind w:left="0" w:leftChars="0" w:right="0" w:rightChars="0" w:firstLine="0" w:firstLineChars="0"/>
              <w:jc w:val="center"/>
              <w:rPr>
                <w:rFonts w:hint="eastAsia" w:cs="Arial"/>
                <w:sz w:val="18"/>
                <w:szCs w:val="18"/>
              </w:rPr>
            </w:pPr>
            <w:r>
              <w:rPr>
                <w:rFonts w:hint="eastAsia" w:cs="Arial"/>
                <w:sz w:val="18"/>
                <w:szCs w:val="18"/>
              </w:rPr>
              <w:t>网络虚拟化</w:t>
            </w:r>
          </w:p>
        </w:tc>
        <w:tc>
          <w:tcPr>
            <w:tcW w:w="9809" w:type="dxa"/>
            <w:tcBorders>
              <w:top w:val="single" w:color="auto" w:sz="4" w:space="0"/>
              <w:left w:val="single" w:color="auto" w:sz="4" w:space="0"/>
              <w:bottom w:val="single" w:color="auto" w:sz="4" w:space="0"/>
              <w:right w:val="single" w:color="auto" w:sz="4" w:space="0"/>
            </w:tcBorders>
            <w:vAlign w:val="center"/>
          </w:tcPr>
          <w:p w14:paraId="06CE9395">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1</w:t>
            </w:r>
            <w:r>
              <w:rPr>
                <w:rFonts w:hint="eastAsia"/>
                <w:sz w:val="18"/>
                <w:szCs w:val="18"/>
              </w:rPr>
              <w:t>、支持本地网络和</w:t>
            </w:r>
            <w:r>
              <w:rPr>
                <w:sz w:val="18"/>
                <w:szCs w:val="18"/>
              </w:rPr>
              <w:t>VPC网络，</w:t>
            </w:r>
            <w:r>
              <w:rPr>
                <w:rFonts w:hint="eastAsia"/>
                <w:sz w:val="18"/>
                <w:szCs w:val="18"/>
              </w:rPr>
              <w:t>可</w:t>
            </w:r>
            <w:r>
              <w:rPr>
                <w:sz w:val="18"/>
                <w:szCs w:val="18"/>
              </w:rPr>
              <w:t>通过鼠标拖拽网元及连线的方式构建可视化网络，实现网络环境的快速化构建</w:t>
            </w:r>
            <w:r>
              <w:rPr>
                <w:rFonts w:hint="eastAsia"/>
                <w:sz w:val="18"/>
                <w:szCs w:val="18"/>
              </w:rPr>
              <w:t>。</w:t>
            </w:r>
            <w:r>
              <w:rPr>
                <w:sz w:val="18"/>
                <w:szCs w:val="18"/>
              </w:rPr>
              <w:t>支持对整个平台虚拟设备的统一管理</w:t>
            </w:r>
            <w:r>
              <w:rPr>
                <w:rFonts w:hint="eastAsia"/>
                <w:sz w:val="18"/>
                <w:szCs w:val="18"/>
              </w:rPr>
              <w:t>，可</w:t>
            </w:r>
            <w:r>
              <w:rPr>
                <w:sz w:val="18"/>
                <w:szCs w:val="18"/>
              </w:rPr>
              <w:t>在管理平台上连接、开启、关闭各类虚拟设备、拓扑可呈现网络流量信息，所见即所得。</w:t>
            </w:r>
          </w:p>
          <w:p w14:paraId="3E00658A">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rFonts w:hint="eastAsia"/>
                <w:sz w:val="18"/>
                <w:szCs w:val="18"/>
              </w:rPr>
              <w:t>★2、支持网络微分段</w:t>
            </w:r>
            <w:r>
              <w:rPr>
                <w:sz w:val="18"/>
                <w:szCs w:val="18"/>
              </w:rPr>
              <w:t>URL黑白名单功能，实现针对HTTP和HTTPS进行管理限制，</w:t>
            </w:r>
            <w:r>
              <w:rPr>
                <w:rFonts w:hint="eastAsia"/>
                <w:sz w:val="18"/>
                <w:szCs w:val="18"/>
              </w:rPr>
              <w:t>网络</w:t>
            </w:r>
            <w:r>
              <w:rPr>
                <w:sz w:val="18"/>
                <w:szCs w:val="18"/>
              </w:rPr>
              <w:t>实现安全访问控制</w:t>
            </w:r>
            <w:r>
              <w:rPr>
                <w:rFonts w:hint="eastAsia"/>
                <w:sz w:val="18"/>
                <w:szCs w:val="18"/>
              </w:rPr>
              <w:t>，微分段组可制定安全规则策略，实现零信任网络（提供产品截图并加盖公章）。</w:t>
            </w:r>
          </w:p>
          <w:p w14:paraId="304431A1">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3</w:t>
            </w:r>
            <w:r>
              <w:rPr>
                <w:rFonts w:hint="eastAsia"/>
                <w:sz w:val="18"/>
                <w:szCs w:val="18"/>
              </w:rPr>
              <w:t>、支持灵活的链路聚合功能，提供主备链路和双活链路可选，满足网络故障切换和负载均衡能力。支持分布式流量镜像功能，实现跨宿主机的虚拟机之间进行流量镜像的功能。</w:t>
            </w:r>
          </w:p>
          <w:p w14:paraId="1E396F8F">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rFonts w:hint="eastAsia"/>
                <w:sz w:val="18"/>
                <w:szCs w:val="18"/>
              </w:rPr>
            </w:pPr>
            <w:r>
              <w:rPr>
                <w:sz w:val="18"/>
                <w:szCs w:val="18"/>
              </w:rPr>
              <w:t>4</w:t>
            </w:r>
            <w:r>
              <w:rPr>
                <w:rFonts w:hint="eastAsia"/>
                <w:sz w:val="18"/>
                <w:szCs w:val="18"/>
              </w:rPr>
              <w:t>、支持在图形化的管理平台界面实现对网络配置的全部操作，包括物理网卡</w:t>
            </w:r>
            <w:r>
              <w:rPr>
                <w:sz w:val="18"/>
                <w:szCs w:val="18"/>
              </w:rPr>
              <w:t>bond、虚拟交换机、虚拟路由器、虚拟端口组等设置，无需借助命令行操作，提高运维效率和简易性</w:t>
            </w:r>
            <w:r>
              <w:rPr>
                <w:rFonts w:hint="eastAsia"/>
                <w:sz w:val="18"/>
                <w:szCs w:val="18"/>
              </w:rPr>
              <w:t xml:space="preserve">。 </w:t>
            </w:r>
          </w:p>
          <w:p w14:paraId="6321D5A4">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sz w:val="18"/>
                <w:szCs w:val="18"/>
              </w:rPr>
            </w:pPr>
            <w:r>
              <w:rPr>
                <w:sz w:val="18"/>
                <w:szCs w:val="18"/>
              </w:rPr>
              <w:t>5</w:t>
            </w:r>
            <w:r>
              <w:rPr>
                <w:rFonts w:hint="eastAsia"/>
                <w:sz w:val="18"/>
                <w:szCs w:val="18"/>
              </w:rPr>
              <w:t>、支持网络拓扑流量监控，能够在网络拓扑图中显示云服务器网卡的上</w:t>
            </w:r>
            <w:r>
              <w:rPr>
                <w:sz w:val="18"/>
                <w:szCs w:val="18"/>
              </w:rPr>
              <w:t>/下行吞吐量、上/下行包速率、安全组信息</w:t>
            </w:r>
            <w:r>
              <w:rPr>
                <w:rFonts w:hint="eastAsia"/>
                <w:sz w:val="18"/>
                <w:szCs w:val="18"/>
              </w:rPr>
              <w:t>。</w:t>
            </w:r>
          </w:p>
          <w:p w14:paraId="6641197F">
            <w:pPr>
              <w:pStyle w:val="9"/>
              <w:keepNext w:val="0"/>
              <w:keepLines w:val="0"/>
              <w:pageBreakBefore w:val="0"/>
              <w:widowControl/>
              <w:tabs>
                <w:tab w:val="clear" w:pos="900"/>
              </w:tabs>
              <w:kinsoku/>
              <w:wordWrap/>
              <w:overflowPunct/>
              <w:topLinePunct w:val="0"/>
              <w:bidi w:val="0"/>
              <w:adjustRightInd/>
              <w:snapToGrid/>
              <w:spacing w:line="240" w:lineRule="exact"/>
              <w:ind w:left="0" w:leftChars="0" w:right="0" w:rightChars="0" w:firstLine="0" w:firstLineChars="0"/>
              <w:jc w:val="left"/>
              <w:textAlignment w:val="auto"/>
              <w:rPr>
                <w:rFonts w:hint="eastAsia"/>
                <w:color w:val="FF0000"/>
                <w:sz w:val="18"/>
                <w:szCs w:val="18"/>
              </w:rPr>
            </w:pPr>
            <w:r>
              <w:rPr>
                <w:rFonts w:hint="eastAsia"/>
                <w:sz w:val="18"/>
                <w:szCs w:val="18"/>
              </w:rPr>
              <w:t>6、支持基于特征自学习、加密流量识别方法及网络事件的识别方法提高现有技术中网络加密流量的识别率，保证云平台安全性，提供证明文件并加盖公章。</w:t>
            </w:r>
          </w:p>
        </w:tc>
      </w:tr>
      <w:tr w14:paraId="762F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0C60FA67">
            <w:pPr>
              <w:pStyle w:val="9"/>
              <w:tabs>
                <w:tab w:val="clear" w:pos="900"/>
              </w:tabs>
              <w:spacing w:line="240" w:lineRule="auto"/>
              <w:ind w:left="0" w:leftChars="0" w:right="0" w:rightChars="0" w:firstLine="0" w:firstLineChars="0"/>
              <w:jc w:val="center"/>
              <w:rPr>
                <w:rFonts w:hint="eastAsia"/>
                <w:sz w:val="18"/>
                <w:szCs w:val="18"/>
                <w:lang w:val="en-US" w:eastAsia="zh-CN"/>
              </w:rPr>
            </w:pPr>
          </w:p>
        </w:tc>
        <w:tc>
          <w:tcPr>
            <w:tcW w:w="11634" w:type="dxa"/>
            <w:gridSpan w:val="2"/>
            <w:tcBorders>
              <w:top w:val="single" w:color="auto" w:sz="4" w:space="0"/>
              <w:left w:val="single" w:color="auto" w:sz="4" w:space="0"/>
              <w:bottom w:val="single" w:color="auto" w:sz="4" w:space="0"/>
              <w:right w:val="single" w:color="auto" w:sz="4" w:space="0"/>
            </w:tcBorders>
            <w:vAlign w:val="center"/>
          </w:tcPr>
          <w:p w14:paraId="0DFCE723">
            <w:pPr>
              <w:pStyle w:val="9"/>
              <w:tabs>
                <w:tab w:val="clear" w:pos="900"/>
              </w:tabs>
              <w:spacing w:line="240" w:lineRule="auto"/>
              <w:ind w:left="0" w:leftChars="0" w:right="0" w:rightChars="0" w:firstLine="0" w:firstLineChars="0"/>
              <w:jc w:val="center"/>
              <w:rPr>
                <w:rFonts w:hint="default" w:eastAsia="宋体"/>
                <w:sz w:val="18"/>
                <w:szCs w:val="18"/>
                <w:lang w:val="en-US" w:eastAsia="zh-CN"/>
              </w:rPr>
            </w:pPr>
            <w:r>
              <w:rPr>
                <w:rFonts w:hint="eastAsia"/>
                <w:sz w:val="18"/>
                <w:szCs w:val="18"/>
                <w:lang w:val="en-US" w:eastAsia="zh-CN"/>
              </w:rPr>
              <w:t>交换机</w:t>
            </w:r>
          </w:p>
        </w:tc>
      </w:tr>
      <w:tr w14:paraId="721C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6517F837">
            <w:pPr>
              <w:pStyle w:val="9"/>
              <w:tabs>
                <w:tab w:val="clear" w:pos="900"/>
              </w:tabs>
              <w:spacing w:line="240" w:lineRule="auto"/>
              <w:ind w:left="0" w:leftChars="0" w:right="0" w:rightChars="0" w:firstLine="0" w:firstLineChars="0"/>
              <w:jc w:val="center"/>
              <w:rPr>
                <w:rFonts w:hint="default"/>
                <w:sz w:val="18"/>
                <w:szCs w:val="18"/>
                <w:lang w:val="en-US" w:eastAsia="zh-CN"/>
              </w:rPr>
            </w:pPr>
            <w:r>
              <w:rPr>
                <w:rFonts w:hint="eastAsia"/>
                <w:sz w:val="18"/>
                <w:szCs w:val="18"/>
                <w:lang w:val="en-US" w:eastAsia="zh-CN"/>
              </w:rPr>
              <w:t>1</w:t>
            </w:r>
          </w:p>
        </w:tc>
        <w:tc>
          <w:tcPr>
            <w:tcW w:w="11634" w:type="dxa"/>
            <w:gridSpan w:val="2"/>
            <w:tcBorders>
              <w:top w:val="single" w:color="auto" w:sz="4" w:space="0"/>
              <w:left w:val="single" w:color="auto" w:sz="4" w:space="0"/>
              <w:bottom w:val="single" w:color="auto" w:sz="4" w:space="0"/>
              <w:right w:val="single" w:color="auto" w:sz="4" w:space="0"/>
            </w:tcBorders>
            <w:vAlign w:val="center"/>
          </w:tcPr>
          <w:p w14:paraId="5746C3F8">
            <w:pPr>
              <w:pStyle w:val="9"/>
              <w:tabs>
                <w:tab w:val="clear" w:pos="900"/>
              </w:tabs>
              <w:spacing w:line="240" w:lineRule="auto"/>
              <w:ind w:left="0" w:leftChars="0" w:right="0" w:rightChars="0" w:firstLine="0" w:firstLineChars="0"/>
              <w:jc w:val="left"/>
              <w:rPr>
                <w:rFonts w:hint="eastAsia"/>
                <w:sz w:val="18"/>
                <w:szCs w:val="18"/>
              </w:rPr>
            </w:pPr>
            <w:r>
              <w:rPr>
                <w:rFonts w:hint="eastAsia"/>
                <w:sz w:val="18"/>
                <w:szCs w:val="18"/>
                <w:lang w:val="en-US" w:eastAsia="zh-CN"/>
              </w:rPr>
              <w:t>1.</w:t>
            </w:r>
            <w:r>
              <w:rPr>
                <w:rFonts w:hint="eastAsia"/>
                <w:sz w:val="18"/>
                <w:szCs w:val="18"/>
              </w:rPr>
              <w:t>交换容量≥1.3T，包转发率≥200Mpps；</w:t>
            </w:r>
          </w:p>
        </w:tc>
      </w:tr>
      <w:tr w14:paraId="56129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7E20A153">
            <w:pPr>
              <w:pStyle w:val="9"/>
              <w:tabs>
                <w:tab w:val="clear" w:pos="900"/>
              </w:tabs>
              <w:spacing w:line="240" w:lineRule="auto"/>
              <w:ind w:left="0" w:leftChars="0" w:right="0" w:rightChars="0" w:firstLine="0" w:firstLineChars="0"/>
              <w:jc w:val="center"/>
              <w:rPr>
                <w:rFonts w:hint="default"/>
                <w:sz w:val="18"/>
                <w:szCs w:val="18"/>
                <w:lang w:val="en-US" w:eastAsia="zh-CN"/>
              </w:rPr>
            </w:pPr>
            <w:r>
              <w:rPr>
                <w:rFonts w:hint="eastAsia"/>
                <w:sz w:val="18"/>
                <w:szCs w:val="18"/>
                <w:lang w:val="en-US" w:eastAsia="zh-CN"/>
              </w:rPr>
              <w:t>2</w:t>
            </w:r>
          </w:p>
        </w:tc>
        <w:tc>
          <w:tcPr>
            <w:tcW w:w="11634" w:type="dxa"/>
            <w:gridSpan w:val="2"/>
            <w:tcBorders>
              <w:top w:val="single" w:color="auto" w:sz="4" w:space="0"/>
              <w:left w:val="single" w:color="auto" w:sz="4" w:space="0"/>
              <w:bottom w:val="single" w:color="auto" w:sz="4" w:space="0"/>
              <w:right w:val="single" w:color="auto" w:sz="4" w:space="0"/>
            </w:tcBorders>
            <w:vAlign w:val="center"/>
          </w:tcPr>
          <w:p w14:paraId="13AEDD78">
            <w:pPr>
              <w:pStyle w:val="9"/>
              <w:tabs>
                <w:tab w:val="clear" w:pos="900"/>
              </w:tabs>
              <w:spacing w:line="240" w:lineRule="auto"/>
              <w:ind w:left="0" w:leftChars="0" w:right="0" w:rightChars="0" w:firstLine="0" w:firstLineChars="0"/>
              <w:jc w:val="left"/>
              <w:rPr>
                <w:rFonts w:hint="eastAsia"/>
                <w:sz w:val="18"/>
                <w:szCs w:val="18"/>
              </w:rPr>
            </w:pPr>
            <w:r>
              <w:rPr>
                <w:rFonts w:hint="eastAsia"/>
                <w:sz w:val="18"/>
                <w:szCs w:val="18"/>
                <w:lang w:val="en-US" w:eastAsia="zh-CN"/>
              </w:rPr>
              <w:t>2.</w:t>
            </w:r>
            <w:r>
              <w:rPr>
                <w:rFonts w:hint="eastAsia"/>
                <w:sz w:val="18"/>
                <w:szCs w:val="18"/>
              </w:rPr>
              <w:t>千兆电口≥48个，万兆光口≥4个；</w:t>
            </w:r>
          </w:p>
        </w:tc>
      </w:tr>
      <w:tr w14:paraId="3F7F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134DB144">
            <w:pPr>
              <w:pStyle w:val="9"/>
              <w:tabs>
                <w:tab w:val="clear" w:pos="900"/>
              </w:tabs>
              <w:spacing w:line="240" w:lineRule="auto"/>
              <w:ind w:left="0" w:leftChars="0" w:right="0" w:rightChars="0" w:firstLine="0" w:firstLineChars="0"/>
              <w:jc w:val="center"/>
              <w:rPr>
                <w:rFonts w:hint="default"/>
                <w:sz w:val="18"/>
                <w:szCs w:val="18"/>
                <w:lang w:val="en-US" w:eastAsia="zh-CN"/>
              </w:rPr>
            </w:pPr>
            <w:r>
              <w:rPr>
                <w:rFonts w:hint="eastAsia"/>
                <w:sz w:val="18"/>
                <w:szCs w:val="18"/>
                <w:lang w:val="en-US" w:eastAsia="zh-CN"/>
              </w:rPr>
              <w:t>3</w:t>
            </w:r>
          </w:p>
        </w:tc>
        <w:tc>
          <w:tcPr>
            <w:tcW w:w="11634" w:type="dxa"/>
            <w:gridSpan w:val="2"/>
            <w:tcBorders>
              <w:top w:val="single" w:color="auto" w:sz="4" w:space="0"/>
              <w:left w:val="single" w:color="auto" w:sz="4" w:space="0"/>
              <w:bottom w:val="single" w:color="auto" w:sz="4" w:space="0"/>
              <w:right w:val="single" w:color="auto" w:sz="4" w:space="0"/>
            </w:tcBorders>
            <w:vAlign w:val="center"/>
          </w:tcPr>
          <w:p w14:paraId="7D20BD20">
            <w:pPr>
              <w:pStyle w:val="9"/>
              <w:tabs>
                <w:tab w:val="clear" w:pos="900"/>
              </w:tabs>
              <w:spacing w:line="240" w:lineRule="auto"/>
              <w:ind w:left="0" w:leftChars="0" w:right="0" w:rightChars="0" w:firstLine="0" w:firstLineChars="0"/>
              <w:jc w:val="left"/>
              <w:rPr>
                <w:rFonts w:hint="eastAsia"/>
                <w:sz w:val="18"/>
                <w:szCs w:val="18"/>
              </w:rPr>
            </w:pPr>
            <w:r>
              <w:rPr>
                <w:rFonts w:hint="eastAsia"/>
                <w:sz w:val="18"/>
                <w:szCs w:val="18"/>
                <w:lang w:val="en-US" w:eastAsia="zh-CN"/>
              </w:rPr>
              <w:t>3.</w:t>
            </w:r>
            <w:r>
              <w:rPr>
                <w:rFonts w:hint="eastAsia"/>
                <w:sz w:val="18"/>
                <w:szCs w:val="18"/>
              </w:rPr>
              <w:t>设备关键芯片（CPU、交换芯片或转发芯片等）为国产化芯片；</w:t>
            </w:r>
          </w:p>
        </w:tc>
      </w:tr>
      <w:tr w14:paraId="6F21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097C486C">
            <w:pPr>
              <w:pStyle w:val="9"/>
              <w:tabs>
                <w:tab w:val="clear" w:pos="900"/>
              </w:tabs>
              <w:spacing w:line="240" w:lineRule="auto"/>
              <w:ind w:left="0" w:leftChars="0" w:right="0" w:rightChars="0" w:firstLine="0" w:firstLineChars="0"/>
              <w:jc w:val="center"/>
              <w:rPr>
                <w:rFonts w:hint="default"/>
                <w:sz w:val="18"/>
                <w:szCs w:val="18"/>
                <w:lang w:val="en-US" w:eastAsia="zh-CN"/>
              </w:rPr>
            </w:pPr>
            <w:r>
              <w:rPr>
                <w:rFonts w:hint="eastAsia"/>
                <w:sz w:val="18"/>
                <w:szCs w:val="18"/>
                <w:lang w:val="en-US" w:eastAsia="zh-CN"/>
              </w:rPr>
              <w:t>4</w:t>
            </w:r>
          </w:p>
        </w:tc>
        <w:tc>
          <w:tcPr>
            <w:tcW w:w="11634" w:type="dxa"/>
            <w:gridSpan w:val="2"/>
            <w:tcBorders>
              <w:top w:val="single" w:color="auto" w:sz="4" w:space="0"/>
              <w:left w:val="single" w:color="auto" w:sz="4" w:space="0"/>
              <w:bottom w:val="single" w:color="auto" w:sz="4" w:space="0"/>
              <w:right w:val="single" w:color="auto" w:sz="4" w:space="0"/>
            </w:tcBorders>
            <w:vAlign w:val="center"/>
          </w:tcPr>
          <w:p w14:paraId="1469564B">
            <w:pPr>
              <w:pStyle w:val="9"/>
              <w:tabs>
                <w:tab w:val="clear" w:pos="900"/>
              </w:tabs>
              <w:spacing w:line="240" w:lineRule="auto"/>
              <w:ind w:left="0" w:leftChars="0" w:right="0" w:rightChars="0" w:firstLine="0" w:firstLineChars="0"/>
              <w:jc w:val="left"/>
              <w:rPr>
                <w:rFonts w:hint="eastAsia"/>
                <w:sz w:val="18"/>
                <w:szCs w:val="18"/>
              </w:rPr>
            </w:pPr>
            <w:r>
              <w:rPr>
                <w:rFonts w:hint="eastAsia"/>
                <w:sz w:val="18"/>
                <w:szCs w:val="18"/>
                <w:lang w:val="en-US" w:eastAsia="zh-CN"/>
              </w:rPr>
              <w:t>4.</w:t>
            </w:r>
            <w:r>
              <w:rPr>
                <w:rFonts w:hint="eastAsia"/>
                <w:sz w:val="18"/>
                <w:szCs w:val="18"/>
              </w:rPr>
              <w:t>支持静态路由、OSPF、BGP、ISIS等协议；</w:t>
            </w:r>
          </w:p>
        </w:tc>
      </w:tr>
      <w:tr w14:paraId="777F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2B81229E">
            <w:pPr>
              <w:pStyle w:val="9"/>
              <w:tabs>
                <w:tab w:val="clear" w:pos="900"/>
              </w:tabs>
              <w:spacing w:line="240" w:lineRule="auto"/>
              <w:ind w:left="0" w:leftChars="0" w:right="0" w:rightChars="0" w:firstLine="0" w:firstLineChars="0"/>
              <w:jc w:val="center"/>
              <w:rPr>
                <w:rFonts w:hint="eastAsia"/>
                <w:sz w:val="18"/>
                <w:szCs w:val="18"/>
                <w:lang w:val="en-US" w:eastAsia="zh-CN"/>
              </w:rPr>
            </w:pPr>
          </w:p>
        </w:tc>
        <w:tc>
          <w:tcPr>
            <w:tcW w:w="11634" w:type="dxa"/>
            <w:gridSpan w:val="2"/>
            <w:tcBorders>
              <w:top w:val="single" w:color="auto" w:sz="4" w:space="0"/>
              <w:left w:val="single" w:color="auto" w:sz="4" w:space="0"/>
              <w:bottom w:val="single" w:color="auto" w:sz="4" w:space="0"/>
              <w:right w:val="single" w:color="auto" w:sz="4" w:space="0"/>
            </w:tcBorders>
            <w:vAlign w:val="center"/>
          </w:tcPr>
          <w:p w14:paraId="35F3F78E">
            <w:pPr>
              <w:pStyle w:val="9"/>
              <w:tabs>
                <w:tab w:val="clear" w:pos="900"/>
              </w:tabs>
              <w:spacing w:line="240" w:lineRule="auto"/>
              <w:ind w:left="0" w:leftChars="0" w:right="0" w:rightChars="0" w:firstLine="0" w:firstLineChars="0"/>
              <w:jc w:val="center"/>
              <w:rPr>
                <w:rFonts w:hint="eastAsia"/>
                <w:sz w:val="18"/>
                <w:szCs w:val="18"/>
              </w:rPr>
            </w:pPr>
            <w:r>
              <w:rPr>
                <w:rFonts w:hint="eastAsia"/>
                <w:sz w:val="18"/>
                <w:szCs w:val="18"/>
                <w:lang w:val="en-US" w:eastAsia="zh-CN"/>
              </w:rPr>
              <w:t>台式</w:t>
            </w:r>
            <w:r>
              <w:rPr>
                <w:rFonts w:hint="eastAsia"/>
                <w:sz w:val="18"/>
                <w:szCs w:val="18"/>
              </w:rPr>
              <w:t>一体机</w:t>
            </w:r>
          </w:p>
        </w:tc>
      </w:tr>
      <w:tr w14:paraId="60FA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49F34611">
            <w:pPr>
              <w:pStyle w:val="9"/>
              <w:tabs>
                <w:tab w:val="clear" w:pos="900"/>
              </w:tabs>
              <w:spacing w:line="240" w:lineRule="auto"/>
              <w:ind w:left="0" w:leftChars="0" w:right="0" w:rightChars="0" w:firstLine="0" w:firstLineChars="0"/>
              <w:jc w:val="center"/>
              <w:rPr>
                <w:rFonts w:hint="default"/>
                <w:sz w:val="18"/>
                <w:szCs w:val="18"/>
                <w:lang w:val="en-US" w:eastAsia="zh-CN"/>
              </w:rPr>
            </w:pPr>
            <w:r>
              <w:rPr>
                <w:rFonts w:hint="eastAsia"/>
                <w:sz w:val="18"/>
                <w:szCs w:val="18"/>
                <w:lang w:val="en-US" w:eastAsia="zh-CN"/>
              </w:rPr>
              <w:t>1</w:t>
            </w:r>
          </w:p>
        </w:tc>
        <w:tc>
          <w:tcPr>
            <w:tcW w:w="11634" w:type="dxa"/>
            <w:gridSpan w:val="2"/>
            <w:tcBorders>
              <w:top w:val="single" w:color="auto" w:sz="4" w:space="0"/>
              <w:left w:val="single" w:color="auto" w:sz="4" w:space="0"/>
              <w:bottom w:val="single" w:color="auto" w:sz="4" w:space="0"/>
              <w:right w:val="single" w:color="auto" w:sz="4" w:space="0"/>
            </w:tcBorders>
            <w:vAlign w:val="center"/>
          </w:tcPr>
          <w:p w14:paraId="358C3FED">
            <w:pPr>
              <w:pStyle w:val="9"/>
              <w:tabs>
                <w:tab w:val="clear" w:pos="900"/>
              </w:tabs>
              <w:spacing w:line="240" w:lineRule="auto"/>
              <w:ind w:left="0" w:leftChars="0" w:right="0" w:rightChars="0" w:firstLine="0" w:firstLineChars="0"/>
              <w:jc w:val="left"/>
              <w:rPr>
                <w:rFonts w:hint="eastAsia"/>
                <w:sz w:val="18"/>
                <w:szCs w:val="18"/>
                <w:lang w:val="en-US" w:eastAsia="zh-CN"/>
              </w:rPr>
            </w:pPr>
            <w:r>
              <w:rPr>
                <w:rFonts w:hint="eastAsia"/>
                <w:sz w:val="18"/>
                <w:szCs w:val="18"/>
                <w:lang w:val="en-US" w:eastAsia="zh-CN"/>
              </w:rPr>
              <w:t>1.商务机；CPU 性能:≥6 核 12 线程，主频≥2.5Ghz ，缓存≥18M 三级缓存;内存：配置 ≥16G DDR4内存，提供双内存槽位；显卡：集成；硬盘：≥512G PCIe M.2 SSD硬盘；网卡：集成 10/100/1000M 以太网卡，集成 802. 11ax 无线网卡；音频设备：内置立体声音箱；</w:t>
            </w:r>
          </w:p>
        </w:tc>
      </w:tr>
      <w:tr w14:paraId="58EE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598CE7A7">
            <w:pPr>
              <w:pStyle w:val="9"/>
              <w:tabs>
                <w:tab w:val="clear" w:pos="900"/>
              </w:tabs>
              <w:spacing w:line="240" w:lineRule="auto"/>
              <w:ind w:left="0" w:leftChars="0" w:right="0" w:rightChars="0" w:firstLine="0" w:firstLineChars="0"/>
              <w:jc w:val="center"/>
              <w:rPr>
                <w:rFonts w:hint="default"/>
                <w:sz w:val="18"/>
                <w:szCs w:val="18"/>
                <w:lang w:val="en-US" w:eastAsia="zh-CN"/>
              </w:rPr>
            </w:pPr>
            <w:r>
              <w:rPr>
                <w:rFonts w:hint="eastAsia"/>
                <w:sz w:val="18"/>
                <w:szCs w:val="18"/>
                <w:lang w:val="en-US" w:eastAsia="zh-CN"/>
              </w:rPr>
              <w:t>2</w:t>
            </w:r>
          </w:p>
        </w:tc>
        <w:tc>
          <w:tcPr>
            <w:tcW w:w="11634" w:type="dxa"/>
            <w:gridSpan w:val="2"/>
            <w:tcBorders>
              <w:top w:val="single" w:color="auto" w:sz="4" w:space="0"/>
              <w:left w:val="single" w:color="auto" w:sz="4" w:space="0"/>
              <w:bottom w:val="single" w:color="auto" w:sz="4" w:space="0"/>
              <w:right w:val="single" w:color="auto" w:sz="4" w:space="0"/>
            </w:tcBorders>
            <w:vAlign w:val="center"/>
          </w:tcPr>
          <w:p w14:paraId="610F7EBB">
            <w:pPr>
              <w:pStyle w:val="9"/>
              <w:tabs>
                <w:tab w:val="clear" w:pos="900"/>
              </w:tabs>
              <w:spacing w:line="240" w:lineRule="auto"/>
              <w:ind w:left="0" w:leftChars="0" w:right="0" w:rightChars="0" w:firstLine="0" w:firstLineChars="0"/>
              <w:jc w:val="left"/>
              <w:rPr>
                <w:rFonts w:hint="eastAsia"/>
                <w:sz w:val="18"/>
                <w:szCs w:val="18"/>
                <w:lang w:val="en-US" w:eastAsia="zh-CN"/>
              </w:rPr>
            </w:pPr>
            <w:r>
              <w:rPr>
                <w:rFonts w:hint="eastAsia"/>
                <w:sz w:val="18"/>
                <w:szCs w:val="18"/>
                <w:lang w:val="en-US" w:eastAsia="zh-CN"/>
              </w:rPr>
              <w:t>2.显示器：≥23.8 英寸 16:9 LED 背光宽屏，1920×1080@60Hz，不低于 178 °可视角；键盘、鼠标：无线键盘、鼠标 ；接口：≥8 个 USB 接口, ≥1 个 HDMI 输出接口, ≥1 个串口</w:t>
            </w:r>
          </w:p>
        </w:tc>
      </w:tr>
      <w:tr w14:paraId="7B92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825" w:type="dxa"/>
            <w:tcBorders>
              <w:top w:val="single" w:color="auto" w:sz="4" w:space="0"/>
              <w:left w:val="single" w:color="auto" w:sz="4" w:space="0"/>
              <w:bottom w:val="single" w:color="auto" w:sz="4" w:space="0"/>
              <w:right w:val="single" w:color="auto" w:sz="4" w:space="0"/>
            </w:tcBorders>
            <w:vAlign w:val="center"/>
          </w:tcPr>
          <w:p w14:paraId="3467D547">
            <w:pPr>
              <w:pStyle w:val="9"/>
              <w:tabs>
                <w:tab w:val="clear" w:pos="900"/>
              </w:tabs>
              <w:spacing w:line="240" w:lineRule="auto"/>
              <w:ind w:left="0" w:leftChars="0" w:right="0" w:rightChars="0" w:firstLine="0" w:firstLineChars="0"/>
              <w:jc w:val="center"/>
              <w:rPr>
                <w:rFonts w:hint="default"/>
                <w:sz w:val="18"/>
                <w:szCs w:val="18"/>
                <w:lang w:val="en-US" w:eastAsia="zh-CN"/>
              </w:rPr>
            </w:pPr>
            <w:r>
              <w:rPr>
                <w:rFonts w:hint="eastAsia"/>
                <w:sz w:val="18"/>
                <w:szCs w:val="18"/>
                <w:lang w:val="en-US" w:eastAsia="zh-CN"/>
              </w:rPr>
              <w:t>3</w:t>
            </w:r>
          </w:p>
        </w:tc>
        <w:tc>
          <w:tcPr>
            <w:tcW w:w="11634" w:type="dxa"/>
            <w:gridSpan w:val="2"/>
            <w:tcBorders>
              <w:top w:val="single" w:color="auto" w:sz="4" w:space="0"/>
              <w:left w:val="single" w:color="auto" w:sz="4" w:space="0"/>
              <w:bottom w:val="single" w:color="auto" w:sz="4" w:space="0"/>
              <w:right w:val="single" w:color="auto" w:sz="4" w:space="0"/>
            </w:tcBorders>
            <w:vAlign w:val="center"/>
          </w:tcPr>
          <w:p w14:paraId="4835A784">
            <w:pPr>
              <w:pStyle w:val="9"/>
              <w:tabs>
                <w:tab w:val="clear" w:pos="900"/>
              </w:tabs>
              <w:spacing w:line="240" w:lineRule="auto"/>
              <w:ind w:left="0" w:leftChars="0" w:right="0" w:rightChars="0" w:firstLine="0" w:firstLineChars="0"/>
              <w:jc w:val="left"/>
              <w:rPr>
                <w:rFonts w:hint="eastAsia"/>
                <w:sz w:val="18"/>
                <w:szCs w:val="18"/>
                <w:lang w:val="en-US" w:eastAsia="zh-CN"/>
              </w:rPr>
            </w:pPr>
            <w:r>
              <w:rPr>
                <w:rFonts w:hint="eastAsia"/>
                <w:sz w:val="18"/>
                <w:szCs w:val="18"/>
                <w:lang w:val="en-US" w:eastAsia="zh-CN"/>
              </w:rPr>
              <w:t>3.安 装 扩 展 ： 支 持 VESA  标 准100mm*100mm  ，支持壁挂； 电源：外置≥150W  节能电源 ；售后服务：提供原厂售后；</w:t>
            </w:r>
          </w:p>
        </w:tc>
      </w:tr>
    </w:tbl>
    <w:p w14:paraId="41E0F762"/>
    <w:sectPr>
      <w:pgSz w:w="16838" w:h="11906" w:orient="landscape"/>
      <w:pgMar w:top="1123" w:right="1440" w:bottom="1179"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6A6DAE"/>
    <w:rsid w:val="126A6DAE"/>
    <w:rsid w:val="13D26448"/>
    <w:rsid w:val="2D31051D"/>
    <w:rsid w:val="2DAF0ECA"/>
    <w:rsid w:val="2E4F0F82"/>
    <w:rsid w:val="35434322"/>
    <w:rsid w:val="404231CC"/>
    <w:rsid w:val="40A56C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360" w:lineRule="auto"/>
      <w:jc w:val="both"/>
    </w:pPr>
    <w:rPr>
      <w:rFonts w:ascii="宋体" w:hAnsi="宋体" w:eastAsia="宋体" w:cs="Times New Roman"/>
      <w:kern w:val="2"/>
      <w:sz w:val="28"/>
      <w:szCs w:val="22"/>
      <w:lang w:val="en-US" w:eastAsia="zh-CN" w:bidi="ar-SA"/>
    </w:rPr>
  </w:style>
  <w:style w:type="paragraph" w:styleId="4">
    <w:name w:val="heading 1"/>
    <w:basedOn w:val="1"/>
    <w:next w:val="1"/>
    <w:qFormat/>
    <w:uiPriority w:val="0"/>
    <w:pPr>
      <w:spacing w:before="0" w:beforeAutospacing="1" w:after="0" w:afterAutospacing="1"/>
      <w:jc w:val="left"/>
      <w:outlineLvl w:val="0"/>
    </w:pPr>
    <w:rPr>
      <w:rFonts w:hint="eastAsia" w:ascii="宋体" w:hAnsi="宋体" w:eastAsia="仿宋" w:cs="宋体"/>
      <w:b/>
      <w:bCs/>
      <w:snapToGrid w:val="0"/>
      <w:color w:val="000000"/>
      <w:kern w:val="44"/>
      <w:sz w:val="48"/>
      <w:szCs w:val="48"/>
      <w:lang w:bidi="ar"/>
    </w:rPr>
  </w:style>
  <w:style w:type="paragraph" w:styleId="5">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仿宋" w:cs="Arial"/>
      <w:b/>
      <w:snapToGrid w:val="0"/>
      <w:color w:val="000000"/>
      <w:kern w:val="0"/>
      <w:sz w:val="32"/>
      <w:szCs w:val="21"/>
      <w:lang w:eastAsia="en-US"/>
    </w:rPr>
  </w:style>
  <w:style w:type="paragraph" w:styleId="6">
    <w:name w:val="heading 3"/>
    <w:basedOn w:val="1"/>
    <w:next w:val="1"/>
    <w:semiHidden/>
    <w:unhideWhenUsed/>
    <w:qFormat/>
    <w:uiPriority w:val="0"/>
    <w:pPr>
      <w:keepNext/>
      <w:keepLines/>
      <w:spacing w:before="260" w:beforeLines="0" w:beforeAutospacing="0" w:after="260" w:afterLines="0" w:afterAutospacing="0" w:line="413" w:lineRule="auto"/>
      <w:outlineLvl w:val="2"/>
    </w:pPr>
    <w:rPr>
      <w:rFonts w:eastAsia="仿宋" w:asciiTheme="minorAscii" w:hAnsiTheme="minorAscii"/>
      <w:b/>
      <w:sz w:val="3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表格文字"/>
    <w:basedOn w:val="1"/>
    <w:next w:val="3"/>
    <w:qFormat/>
    <w:uiPriority w:val="0"/>
    <w:pPr>
      <w:spacing w:line="240" w:lineRule="atLeast"/>
      <w:ind w:firstLine="200" w:firstLineChars="200"/>
      <w:jc w:val="left"/>
    </w:pPr>
    <w:rPr>
      <w:sz w:val="24"/>
      <w:szCs w:val="20"/>
    </w:rPr>
  </w:style>
  <w:style w:type="paragraph" w:styleId="3">
    <w:name w:val="Body Text"/>
    <w:basedOn w:val="1"/>
    <w:next w:val="1"/>
    <w:qFormat/>
    <w:uiPriority w:val="1"/>
    <w:pPr>
      <w:ind w:left="140"/>
    </w:pPr>
    <w:rPr>
      <w:rFonts w:cs="宋体"/>
      <w:sz w:val="24"/>
      <w:szCs w:val="24"/>
    </w:rPr>
  </w:style>
  <w:style w:type="paragraph" w:customStyle="1" w:styleId="9">
    <w:name w:val="QB正文"/>
    <w:basedOn w:val="1"/>
    <w:qFormat/>
    <w:uiPriority w:val="0"/>
    <w:pPr>
      <w:widowControl/>
      <w:tabs>
        <w:tab w:val="left" w:pos="900"/>
      </w:tabs>
      <w:autoSpaceDE w:val="0"/>
      <w:autoSpaceDN w:val="0"/>
      <w:adjustRightInd/>
      <w:snapToGrid/>
    </w:pPr>
    <w:rPr>
      <w:rFonts w:hAnsi="Times New Roman"/>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2494</Words>
  <Characters>2729</Characters>
  <Lines>0</Lines>
  <Paragraphs>0</Paragraphs>
  <TotalTime>22</TotalTime>
  <ScaleCrop>false</ScaleCrop>
  <LinksUpToDate>false</LinksUpToDate>
  <CharactersWithSpaces>2784</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2026-09-18T01:31:00Z</dcterms:created>
  <dc:creator>Xxx</dc:creator>
  <cp:lastModifiedBy>赵飒培</cp:lastModifiedBy>
  <cp:lastPrinted>2026-10-14T08:52:36Z</cp:lastPrinted>
  <dcterms:modified xsi:type="dcterms:W3CDTF">2026-10-14T08:56:58Z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26BF69070CEE464AAF92C984ED6F6031_11</vt:lpwstr>
  </property>
  <property fmtid="{D5CDD505-2E9C-101B-9397-08002B2CF9AE}" pid="4" name="KSOTemplateDocerSaveRecord">
    <vt:lpwstr>eyJoZGlkIjoiYzBiNTMwYzZiMmI1NjVlMDcyODY0MjdmYTEyMWI0ZmMiLCJ1c2VySWQiOiIxNDc0OTExMDA2In0=</vt:lpwstr>
  </property>
</Properties>
</file>