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75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2040"/>
        <w:gridCol w:w="2040"/>
        <w:gridCol w:w="1215"/>
        <w:gridCol w:w="1215"/>
      </w:tblGrid>
      <w:tr w14:paraId="5612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5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新</w:t>
            </w:r>
            <w:r>
              <w:rPr>
                <w:rStyle w:val="6"/>
                <w:lang w:val="en-US" w:eastAsia="zh-CN" w:bidi="ar"/>
              </w:rPr>
              <w:t>蓄电池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12V100AH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5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只</w:t>
            </w:r>
          </w:p>
        </w:tc>
      </w:tr>
      <w:tr w14:paraId="64B2A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3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E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65AH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</w:tr>
      <w:tr w14:paraId="6D90B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B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E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</w:tr>
      <w:tr w14:paraId="53995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UPS主机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8节电池配套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2576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B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UPS主机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16节电池配套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302B0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电池箱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8节电池柜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2813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int="eastAsia"/>
                <w:lang w:val="en-US" w:eastAsia="zh-CN" w:bidi="ar"/>
              </w:rPr>
              <w:t>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电池箱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16节电池柜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2EB1E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12V90AH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</w:tr>
      <w:tr w14:paraId="31942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12V24AH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</w:tr>
      <w:tr w14:paraId="37B54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12V65AH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</w:tr>
      <w:tr w14:paraId="2E13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12V40AH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</w:tr>
      <w:tr w14:paraId="0A90B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UPS主机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EA906H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3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1E365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7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UPS主机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A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EA903H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09984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电池箱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3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56568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4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电池箱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17AA4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5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合计金额：73000元</w:t>
            </w:r>
          </w:p>
        </w:tc>
      </w:tr>
    </w:tbl>
    <w:p w14:paraId="6D219A1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11B8D3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6761520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24DA1BC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D06ECFC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1.蓄电池技术参数</w:t>
      </w:r>
    </w:p>
    <w:p w14:paraId="434EC6A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1.额定电压：12V；  </w:t>
      </w:r>
    </w:p>
    <w:p w14:paraId="112A8DC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2.额定容量：</w:t>
      </w:r>
    </w:p>
    <w:p w14:paraId="66F2FD88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100Ah 重量≥27.8公斤</w:t>
      </w:r>
    </w:p>
    <w:p w14:paraId="77A0E527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65Ah重量≥18.6公斤</w:t>
      </w:r>
    </w:p>
    <w:p w14:paraId="0A51D525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38Ah重量≥9.5公斤 </w:t>
      </w:r>
    </w:p>
    <w:p w14:paraId="19D168DA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3.设计浮充寿命：8-10 年。 </w:t>
      </w:r>
    </w:p>
    <w:p w14:paraId="0144523B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4.无变形、漏液、裂纹及污迹；标识清晰。 </w:t>
      </w:r>
    </w:p>
    <w:p w14:paraId="7AF20B4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5.结构：正、负极端子有明显标志，便于连接。 </w:t>
      </w:r>
    </w:p>
    <w:p w14:paraId="1DEBBAB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6.阻燃性能：符合 YD/T799-2024 中的要求。 </w:t>
      </w:r>
    </w:p>
    <w:p w14:paraId="52C6F1C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7.气密性：能承受 50kPa 的正压或负压而不破裂、不开胶，压力释放后壳体无残余变形。 </w:t>
      </w:r>
    </w:p>
    <w:p w14:paraId="24242CA3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8.大电流放电：以 30I10A 放电 3min, 极柱不熔断、内部汇流排不熔断，外观不出现异常。 </w:t>
      </w:r>
    </w:p>
    <w:p w14:paraId="314FD5BA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9.容益保存率：静置 28 天后容呈保存率≥96%。 </w:t>
      </w:r>
    </w:p>
    <w:p w14:paraId="608253B7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10.密封反应效率：密封反应效率≥95% </w:t>
      </w:r>
    </w:p>
    <w:p w14:paraId="18DA120F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11.防酸雾性能：对完全充电后的电池以 0.2I10A 电流连续再充电 4h,PH 值应呈中性。 </w:t>
      </w:r>
    </w:p>
    <w:p w14:paraId="2BA0ECC0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12.安全阀要求：开阀压力：10-35kPa;闭阀压力：3-30kPa。</w:t>
      </w:r>
      <w:r>
        <w:rPr>
          <w:rFonts w:hint="eastAsia" w:ascii="宋体" w:hAnsi="宋体" w:eastAsia="宋体" w:cs="宋体"/>
          <w:color w:val="000000"/>
          <w:kern w:val="0"/>
          <w:sz w:val="19"/>
          <w:szCs w:val="19"/>
          <w:lang w:val="en-US" w:eastAsia="zh-CN" w:bidi="ar"/>
        </w:rPr>
        <w:t xml:space="preserve"> </w:t>
      </w:r>
    </w:p>
    <w:p w14:paraId="60C5057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13.耐过充电能力：完全充电后的电池以 0.03C10 连续充电 160h, 无变形、无漏液。 </w:t>
      </w:r>
    </w:p>
    <w:p w14:paraId="26823F0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14.端电压均衡性：开路：最高与最低差值应≤100mV；设计浮充：进入设计浮充状态 24h 后端电压差≤480mV；放电：端电压差≤ 600mV。 </w:t>
      </w:r>
    </w:p>
    <w:p w14:paraId="7CB352CB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15.电池间连接电压降：△U≤l0mV。 </w:t>
      </w:r>
    </w:p>
    <w:p w14:paraId="51D16CFA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16.防爆性能：充电过程中遇明火，内部不引燃、不引爆。 </w:t>
      </w:r>
    </w:p>
    <w:p w14:paraId="646CE3C3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17.封口剂性能：环境温度-30℃~+65℃之间，封口剂无裂纹与溢流现象。 </w:t>
      </w:r>
    </w:p>
    <w:p w14:paraId="2C16167B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18.内阻：同组蓄电池内阻偏差为实测值。 </w:t>
      </w:r>
    </w:p>
    <w:p w14:paraId="7189034F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19.热失控敏感性：蓄电池温度≤60℃；每 24h 的电流增长率≤50%。 </w:t>
      </w:r>
    </w:p>
    <w:p w14:paraId="258F21F0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20.过度放电：容量恢复值≥90%。 </w:t>
      </w:r>
    </w:p>
    <w:p w14:paraId="67C3D750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21.低温敏感性：10h 率容量≥O.9C10；外观无破裂、过度膨胀及槽、盖分离现象。 </w:t>
      </w:r>
    </w:p>
    <w:p w14:paraId="61065596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22.容量一致性：同组蓄电池容量试验时，最大实际容量与最小实际容量差值≤5%。</w:t>
      </w:r>
    </w:p>
    <w:p w14:paraId="19114186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2.主机16节电池配套参数</w:t>
      </w:r>
    </w:p>
    <w:p w14:paraId="14EE0F19">
      <w:pPr>
        <w:rPr>
          <w:rFonts w:hint="eastAsia"/>
        </w:rPr>
      </w:pPr>
      <w:r>
        <w:rPr>
          <w:rFonts w:hint="eastAsia"/>
        </w:rPr>
        <w:t>1.★本项目要求采用在线式双变换高频型UPS，单进单出，容量不低于6kVA/5400W；输出为额定阻性负载时，输入电压范围应不小于：176~264VAC。质保5年</w:t>
      </w:r>
    </w:p>
    <w:p w14:paraId="2642170F">
      <w:pPr>
        <w:rPr>
          <w:rFonts w:hint="eastAsia"/>
        </w:rPr>
      </w:pPr>
      <w:r>
        <w:rPr>
          <w:rFonts w:hint="eastAsia"/>
        </w:rPr>
        <w:t>2.输入电压与频率为额定值时，输出为额定100%非线性负载时，输入功率因数应≥0.985。</w:t>
      </w:r>
    </w:p>
    <w:p w14:paraId="45017BEE">
      <w:pPr>
        <w:rPr>
          <w:rFonts w:hint="eastAsia"/>
        </w:rPr>
      </w:pPr>
      <w:r>
        <w:rPr>
          <w:rFonts w:hint="eastAsia"/>
        </w:rPr>
        <w:t>3.★输入电压与频率为额定值，输出为额定100%非线性负载时，输入电流总谐波成份应 ≤6.9%。</w:t>
      </w:r>
    </w:p>
    <w:p w14:paraId="1FB856EC">
      <w:pPr>
        <w:rPr>
          <w:rFonts w:hint="eastAsia"/>
        </w:rPr>
      </w:pPr>
      <w:r>
        <w:rPr>
          <w:rFonts w:hint="eastAsia"/>
        </w:rPr>
        <w:t>4.输出为空载和额定阻性负载，调节输入电压为UPS上、下限值时，其稳压精度应0.59%。</w:t>
      </w:r>
    </w:p>
    <w:p w14:paraId="126F1682">
      <w:pPr>
        <w:rPr>
          <w:rFonts w:hint="eastAsia"/>
        </w:rPr>
      </w:pPr>
      <w:r>
        <w:rPr>
          <w:rFonts w:hint="eastAsia"/>
        </w:rPr>
        <w:t>5.输出额定电压应208/220/230/240VAC可调，提供本项目UPS主机型号的证明文件并加盖厂家公章。</w:t>
      </w:r>
    </w:p>
    <w:p w14:paraId="269E05A9">
      <w:pPr>
        <w:rPr>
          <w:rFonts w:hint="eastAsia"/>
        </w:rPr>
      </w:pPr>
      <w:r>
        <w:rPr>
          <w:rFonts w:hint="eastAsia"/>
        </w:rPr>
        <w:t>6.额定输出功率因数应≥0.9。</w:t>
      </w:r>
    </w:p>
    <w:p w14:paraId="7179A471">
      <w:pPr>
        <w:rPr>
          <w:rFonts w:hint="eastAsia"/>
        </w:rPr>
      </w:pPr>
      <w:r>
        <w:rPr>
          <w:rFonts w:hint="eastAsia"/>
        </w:rPr>
        <w:t>7.★输入电压波形失真度≤5%，输出额定阻性负载与非线性负载，输出电压波形失真度应为：100%市电阻性负载：≤2.1%，100%市电非线性负载：≤2.1%。</w:t>
      </w:r>
    </w:p>
    <w:p w14:paraId="31A9E08A">
      <w:pPr>
        <w:rPr>
          <w:rFonts w:hint="eastAsia"/>
        </w:rPr>
      </w:pPr>
      <w:r>
        <w:rPr>
          <w:rFonts w:hint="eastAsia"/>
        </w:rPr>
        <w:t>8.输入电压为额定值，输出为额定100%阻性负载时，系统效率应≥93.4%。</w:t>
      </w:r>
    </w:p>
    <w:p w14:paraId="62BBA1A8">
      <w:pPr>
        <w:rPr>
          <w:rFonts w:hint="eastAsia"/>
        </w:rPr>
      </w:pPr>
      <w:r>
        <w:rPr>
          <w:rFonts w:hint="eastAsia"/>
        </w:rPr>
        <w:t>9.★主机电池连接口应采用插拔式方便设备与蓄电池链接，拒绝采用端子排链接方式，提供本项目UPS主机型号的证明文件并加盖厂家公章。</w:t>
      </w:r>
    </w:p>
    <w:p w14:paraId="2BF68A32">
      <w:pPr>
        <w:rPr>
          <w:rFonts w:hint="eastAsia"/>
        </w:rPr>
      </w:pPr>
      <w:r>
        <w:rPr>
          <w:rFonts w:hint="eastAsia"/>
        </w:rPr>
        <w:t>10.★主机应具备直流冷启动功能：UPS主机在没有接入市电时，可通过蓄电池组直接开机。</w:t>
      </w:r>
    </w:p>
    <w:p w14:paraId="459BA689">
      <w:pPr>
        <w:rPr>
          <w:rFonts w:hint="eastAsia"/>
        </w:rPr>
      </w:pPr>
      <w:r>
        <w:rPr>
          <w:rFonts w:hint="eastAsia"/>
        </w:rPr>
        <w:t>11.★主机应具备无电池开机功能：UPS主机在没有接入电池组或者电池组故障时，可直接通过市电直接开机。</w:t>
      </w:r>
    </w:p>
    <w:p w14:paraId="4C5A7581">
      <w:pPr>
        <w:rPr>
          <w:rFonts w:hint="eastAsia"/>
        </w:rPr>
      </w:pPr>
      <w:r>
        <w:rPr>
          <w:rFonts w:hint="eastAsia"/>
        </w:rPr>
        <w:t>12.★主机应具备电池自检活化功能，减少运维成本延长电池寿命，提供本项目UPS主机型号的证明文件并加盖厂家公章。</w:t>
      </w:r>
    </w:p>
    <w:p w14:paraId="0F5AC485">
      <w:pPr>
        <w:rPr>
          <w:rFonts w:hint="eastAsia"/>
        </w:rPr>
      </w:pPr>
      <w:r>
        <w:rPr>
          <w:rFonts w:hint="eastAsia"/>
        </w:rPr>
        <w:t>13.★主机应具备现场电池容量允许放电时间内设定放电时间功能，拒绝借助软件及协议修改，减小电池深度过放无法充电风险，提供本项目UPS主机型号的证明文件并加盖厂家公章。</w:t>
      </w:r>
    </w:p>
    <w:p w14:paraId="17A2EE92">
      <w:pPr>
        <w:rPr>
          <w:rFonts w:hint="eastAsia"/>
        </w:rPr>
      </w:pPr>
      <w:r>
        <w:rPr>
          <w:rFonts w:hint="eastAsia"/>
        </w:rPr>
        <w:t>14.UPS主机人机界面应配置点阵式LCD显示屏，同时应配置LED与按键结合使用，方便现场运维。</w:t>
      </w:r>
    </w:p>
    <w:p w14:paraId="23A9A84E">
      <w:pPr>
        <w:rPr>
          <w:rFonts w:hint="eastAsia"/>
        </w:rPr>
      </w:pPr>
      <w:r>
        <w:rPr>
          <w:rFonts w:hint="eastAsia"/>
        </w:rPr>
        <w:t>15.须标配RS232端口，免费提供通讯协议及监控软件，软件应支持大部分常用操作系统。可支持本地监控，或多台UPS主机集中监控。</w:t>
      </w:r>
    </w:p>
    <w:p w14:paraId="7CFB102A">
      <w:pPr>
        <w:rPr>
          <w:rFonts w:hint="eastAsia"/>
        </w:rPr>
      </w:pPr>
      <w:r>
        <w:rPr>
          <w:rFonts w:hint="eastAsia"/>
        </w:rPr>
        <w:t>16.应支持选配MODBUS卡，支持两个RJ45端口，支持MODBUS-RTU协议，无需额外加配软硬件。</w:t>
      </w:r>
    </w:p>
    <w:p w14:paraId="5C28231B">
      <w:pPr>
        <w:rPr>
          <w:rFonts w:hint="eastAsia"/>
        </w:rPr>
      </w:pPr>
      <w:r>
        <w:rPr>
          <w:rFonts w:hint="eastAsia"/>
        </w:rPr>
        <w:t>17.应支持选配智能监控卡，可实现UPS远程监控，最大1000台UPS集中监控；可远程关闭服务器、最大可实现控制1000台服务器自动关机。</w:t>
      </w:r>
    </w:p>
    <w:p w14:paraId="42B5BFE6">
      <w:pPr>
        <w:rPr>
          <w:rFonts w:hint="eastAsia"/>
        </w:rPr>
      </w:pPr>
      <w:r>
        <w:rPr>
          <w:rFonts w:hint="eastAsia"/>
        </w:rPr>
        <w:t>18.外观与结构：UPS主机箱应镀层牢固，漆面匀称，无剥落、锈蚀及裂痕等现象；表面平整，所有标牌、标记、文字符号应清晰易见、正确、整齐；各种开关便于操作，灵活可靠。</w:t>
      </w:r>
    </w:p>
    <w:p w14:paraId="158B7A32">
      <w:pPr>
        <w:rPr>
          <w:rFonts w:hint="eastAsia"/>
        </w:rPr>
      </w:pPr>
      <w:r>
        <w:rPr>
          <w:rFonts w:hint="eastAsia"/>
        </w:rPr>
        <w:t>19.UPS主机中的功率板均采用涂敷三防漆工艺，具有防潮、防尘、防漏电、防腐蚀、防锈、防盐雾、防震、防老化、绝缘、耐电晕等性能；投标时须提供由厂家出具的满足上述要求的技术证明文件（不限于对工艺流程、检验标准等做详细描述），并加盖厂家公章。</w:t>
      </w:r>
    </w:p>
    <w:p w14:paraId="7A8D178B">
      <w:pPr>
        <w:rPr>
          <w:rFonts w:hint="eastAsia"/>
        </w:rPr>
      </w:pPr>
      <w:r>
        <w:rPr>
          <w:rFonts w:hint="eastAsia"/>
        </w:rPr>
        <w:t>20.应具备输出短路保护、输出过载保护、过温度保护、电池电压低保护、输出过欠压保护、风扇故障告警、防雷保护等功能。</w:t>
      </w:r>
    </w:p>
    <w:p w14:paraId="7609BBC8">
      <w:pPr>
        <w:rPr>
          <w:rFonts w:hint="eastAsia"/>
        </w:rPr>
      </w:pPr>
      <w:r>
        <w:rPr>
          <w:rFonts w:hint="eastAsia"/>
        </w:rPr>
        <w:t>21.★UPS主机须满足YD/T1095-2018《通信用交流不间断电源（UPS）》标准要求，提供本项目UPS主机同型号的泰尔认证证书复印件，并加盖厂家公章；提供本项目UPS主机同系列（送样UPS规格应不小于1kVA，不大于10kVA）的泰尔检验报告复印件，并加盖厂家公章。</w:t>
      </w:r>
    </w:p>
    <w:p w14:paraId="563125BA">
      <w:pPr>
        <w:rPr>
          <w:rFonts w:hint="eastAsia"/>
        </w:rPr>
      </w:pPr>
      <w:r>
        <w:rPr>
          <w:rFonts w:hint="eastAsia"/>
        </w:rPr>
        <w:t>★UPS主机须满足CQC3108-2011《不间断电源节能认证技术规范》标准要求，提供本项目UPS主机的中国节能产品认证证书及中国节能产品认证试验报告复印件，并加盖厂家公章。</w:t>
      </w:r>
    </w:p>
    <w:p w14:paraId="3E38F73F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3.主机8节电池配套参数</w:t>
      </w:r>
    </w:p>
    <w:p w14:paraId="0056D15B">
      <w:pPr>
        <w:rPr>
          <w:rFonts w:hint="eastAsia"/>
        </w:rPr>
      </w:pPr>
      <w:r>
        <w:rPr>
          <w:rFonts w:hint="eastAsia"/>
        </w:rPr>
        <w:t>1.★本项目要求采用在线式双变换高频型UPS，单进单出，容量不低于3kVA/2700W；输出为额定阻性负载时，输入电压范围应不小于：176~264VAC，主机质保5年</w:t>
      </w:r>
    </w:p>
    <w:p w14:paraId="6C4FB62B">
      <w:pPr>
        <w:rPr>
          <w:rFonts w:hint="eastAsia"/>
        </w:rPr>
      </w:pPr>
      <w:r>
        <w:rPr>
          <w:rFonts w:hint="eastAsia"/>
        </w:rPr>
        <w:t>2.输入电压与频率为额定值时，输出为额定100%非线性负载时，输入功率因数应≥0.985。</w:t>
      </w:r>
    </w:p>
    <w:p w14:paraId="065A7789">
      <w:pPr>
        <w:rPr>
          <w:rFonts w:hint="eastAsia"/>
        </w:rPr>
      </w:pPr>
      <w:r>
        <w:rPr>
          <w:rFonts w:hint="eastAsia"/>
        </w:rPr>
        <w:t>3.★输入电压与频率为额定值，输出为额定100%非线性负载时，输入电流总谐波成份应 ≤6.9%。</w:t>
      </w:r>
    </w:p>
    <w:p w14:paraId="65495AFA">
      <w:pPr>
        <w:rPr>
          <w:rFonts w:hint="eastAsia"/>
        </w:rPr>
      </w:pPr>
      <w:r>
        <w:rPr>
          <w:rFonts w:hint="eastAsia"/>
        </w:rPr>
        <w:t>4.输出为空载和额定阻性负载，调节输入电压为UPS上、下限值时，其稳压精度应≤0.59%。</w:t>
      </w:r>
    </w:p>
    <w:p w14:paraId="52B026EA">
      <w:pPr>
        <w:rPr>
          <w:rFonts w:hint="eastAsia"/>
        </w:rPr>
      </w:pPr>
      <w:r>
        <w:rPr>
          <w:rFonts w:hint="eastAsia"/>
        </w:rPr>
        <w:t>5.输出额定电压应200/208/220/230/240VAC可调，提供本项目UPS主机型号的证明文件并加盖厂家公章。</w:t>
      </w:r>
    </w:p>
    <w:p w14:paraId="0C1C535C">
      <w:pPr>
        <w:rPr>
          <w:rFonts w:hint="eastAsia"/>
        </w:rPr>
      </w:pPr>
      <w:r>
        <w:rPr>
          <w:rFonts w:hint="eastAsia"/>
        </w:rPr>
        <w:t>6.额定输出功率因数应≥0.9。</w:t>
      </w:r>
    </w:p>
    <w:p w14:paraId="01957C10">
      <w:pPr>
        <w:rPr>
          <w:rFonts w:hint="eastAsia"/>
        </w:rPr>
      </w:pPr>
      <w:r>
        <w:rPr>
          <w:rFonts w:hint="eastAsia"/>
        </w:rPr>
        <w:t>7.★输入电压波形失真度≤5%，输出额定阻性负载与非线性负载，输出电压波形失真度应为：100%市电阻性负载：≤2.1%，100%市电非线性负载：≤2.1%。</w:t>
      </w:r>
    </w:p>
    <w:p w14:paraId="687093F1">
      <w:pPr>
        <w:rPr>
          <w:rFonts w:hint="eastAsia"/>
        </w:rPr>
      </w:pPr>
      <w:r>
        <w:rPr>
          <w:rFonts w:hint="eastAsia"/>
        </w:rPr>
        <w:t>8.输入电压为额定值，输出为额定100%阻性负载时，系统效率应≥93.4%。</w:t>
      </w:r>
    </w:p>
    <w:p w14:paraId="4E6FB227">
      <w:pPr>
        <w:rPr>
          <w:rFonts w:hint="eastAsia"/>
        </w:rPr>
      </w:pPr>
      <w:r>
        <w:rPr>
          <w:rFonts w:hint="eastAsia"/>
        </w:rPr>
        <w:t>9.★主机应具备直流冷启动功能：UPS主机在没有接入市电时，可通过蓄电池组直接开机。</w:t>
      </w:r>
    </w:p>
    <w:p w14:paraId="01CEC879">
      <w:pPr>
        <w:rPr>
          <w:rFonts w:hint="eastAsia"/>
        </w:rPr>
      </w:pPr>
      <w:r>
        <w:rPr>
          <w:rFonts w:hint="eastAsia"/>
        </w:rPr>
        <w:t>10.★主机应具备无电池开机功能：UPS主机在没有接入电池组或者电池组故障时，可直接通过市电直接开机。</w:t>
      </w:r>
    </w:p>
    <w:p w14:paraId="164F6A90">
      <w:pPr>
        <w:rPr>
          <w:rFonts w:hint="eastAsia"/>
        </w:rPr>
      </w:pPr>
      <w:r>
        <w:rPr>
          <w:rFonts w:hint="eastAsia"/>
        </w:rPr>
        <w:t>11.★主机应具备电池自检活化功能，减少运维成本延长电池寿命，提供本项目UPS主机型号的证明文件并加盖厂家公章。</w:t>
      </w:r>
    </w:p>
    <w:p w14:paraId="0C813E7D">
      <w:pPr>
        <w:rPr>
          <w:rFonts w:hint="eastAsia"/>
        </w:rPr>
      </w:pPr>
      <w:r>
        <w:rPr>
          <w:rFonts w:hint="eastAsia"/>
        </w:rPr>
        <w:t>12.★主机应具备现场电池容量允许放电时间内设定放电时间功能，拒绝借助软件及协议修改，减小电池深度过放无法充电风险，提供本项目UPS主机型号的证明文件并加盖厂家公章。</w:t>
      </w:r>
    </w:p>
    <w:p w14:paraId="44A753F7">
      <w:pPr>
        <w:rPr>
          <w:rFonts w:hint="eastAsia"/>
        </w:rPr>
      </w:pPr>
      <w:r>
        <w:rPr>
          <w:rFonts w:hint="eastAsia"/>
        </w:rPr>
        <w:t>13.须标配RS232端口，免费提供通讯协议及监控软件，软件应支持大部分常用操作系统。可支持本地监控，或多台UPS主机集中监控。</w:t>
      </w:r>
    </w:p>
    <w:p w14:paraId="3DFE27C2">
      <w:pPr>
        <w:rPr>
          <w:rFonts w:hint="eastAsia"/>
        </w:rPr>
      </w:pPr>
      <w:r>
        <w:rPr>
          <w:rFonts w:hint="eastAsia"/>
        </w:rPr>
        <w:t>14.应支持选配MODBUS卡，支持两个RJ45端口，支持MODBUS-RTU协议，无需额外加配软硬件。</w:t>
      </w:r>
    </w:p>
    <w:p w14:paraId="5552F91B">
      <w:pPr>
        <w:rPr>
          <w:rFonts w:hint="eastAsia"/>
        </w:rPr>
      </w:pPr>
      <w:r>
        <w:rPr>
          <w:rFonts w:hint="eastAsia"/>
        </w:rPr>
        <w:t>15.应支持选配智能监控卡，可实现UPS远程监控，最大1000台UPS集中监控；可远程关闭服务器、最大可实现控制1000台服务器自动关机。</w:t>
      </w:r>
    </w:p>
    <w:p w14:paraId="5AADEC9A">
      <w:pPr>
        <w:rPr>
          <w:rFonts w:hint="eastAsia"/>
        </w:rPr>
      </w:pPr>
      <w:r>
        <w:rPr>
          <w:rFonts w:hint="eastAsia"/>
        </w:rPr>
        <w:t>16.外观与结构：UPS主机箱应镀层牢固，漆面匀称，无剥落、锈蚀及裂痕等现象；表面平整，所有标牌、标记、文字符号应清晰易见、正确、整齐；各种开关便于操作，灵活可靠。</w:t>
      </w:r>
    </w:p>
    <w:p w14:paraId="4449A1F6">
      <w:pPr>
        <w:rPr>
          <w:rFonts w:hint="eastAsia"/>
        </w:rPr>
      </w:pPr>
      <w:r>
        <w:rPr>
          <w:rFonts w:hint="eastAsia"/>
        </w:rPr>
        <w:t>17.UPS主机中的功率板均采用涂敷三防漆工艺，具有防潮、防尘、防漏电、防腐蚀、防锈、防盐雾、防震、防老化、绝缘、耐电晕等性能；投标时须提供由厂家出具的满足上述要求的技术证明文件（不限于对工艺流程、检验标准等做详细描述），并加盖厂家公章。</w:t>
      </w:r>
    </w:p>
    <w:p w14:paraId="19DAF8AA">
      <w:pPr>
        <w:rPr>
          <w:rFonts w:hint="eastAsia"/>
        </w:rPr>
      </w:pPr>
      <w:r>
        <w:rPr>
          <w:rFonts w:hint="eastAsia"/>
        </w:rPr>
        <w:t>18.应具备输出短路保护、输出过载保护、过温度保护、电池电压低保护、输出过欠压保护、风扇故障告警、防雷保护等功能。</w:t>
      </w:r>
    </w:p>
    <w:p w14:paraId="6F21A708">
      <w:pPr>
        <w:rPr>
          <w:rFonts w:hint="eastAsia"/>
        </w:rPr>
      </w:pPr>
      <w:r>
        <w:rPr>
          <w:rFonts w:hint="eastAsia"/>
        </w:rPr>
        <w:t>19.★UPS主机须满足YD/T1095-2018《通信用交流不间断电源（UPS）》标准要求，提供本项目UPS主机同型号的泰尔认证证书复印件，并加盖厂家公章；提供本项目UPS主机同系列（送样UPS规格应不小于1kVA，不大于10kVA）的泰尔检验报告复印件，并加盖厂家公章。</w:t>
      </w:r>
    </w:p>
    <w:p w14:paraId="0FD85459">
      <w:r>
        <w:rPr>
          <w:rFonts w:hint="eastAsia"/>
        </w:rPr>
        <w:t>★UPS主机须满足CQC3108-2011《不间断电源节能认证技术规范》标准要求，提供本项目UPS主机的中国节能产品认证证书及中国节能产品认证试验报告复印件，并加盖厂家公章。</w:t>
      </w:r>
    </w:p>
    <w:p w14:paraId="1C943B1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5001F48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铅酸蓄电池采购招标要求</w:t>
      </w:r>
    </w:p>
    <w:p w14:paraId="3F74A86A">
      <w:pPr>
        <w:numPr>
          <w:ilvl w:val="0"/>
          <w:numId w:val="1"/>
        </w:numPr>
        <w:rPr>
          <w:rFonts w:hint="eastAsia" w:ascii="宋体" w:hAnsi="宋体" w:cs="宋体"/>
          <w:sz w:val="24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所投蓄电池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</w:t>
      </w:r>
      <w:r>
        <w:rPr>
          <w:rFonts w:ascii="宋体" w:hAnsi="宋体" w:eastAsia="宋体" w:cs="宋体"/>
          <w:sz w:val="24"/>
          <w:szCs w:val="24"/>
        </w:rPr>
        <w:t>提供原厂出具的出厂证明文件及对应型号有效的泰尔认证证书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不接受 OEM 产品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AAEF705">
      <w:pPr>
        <w:numPr>
          <w:ilvl w:val="0"/>
          <w:numId w:val="1"/>
        </w:numPr>
        <w:rPr>
          <w:rFonts w:hint="eastAsia" w:ascii="宋体" w:hAnsi="宋体" w:cs="宋体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  <w:lang w:val="en-US" w:eastAsia="zh-CN"/>
        </w:rPr>
        <w:t>承担全部产品质量责任，不合格产品须无条件退换，并承担采购方全部损失。</w:t>
      </w:r>
    </w:p>
    <w:p w14:paraId="79E73C2B">
      <w:pPr>
        <w:rPr>
          <w:rFonts w:hint="eastAsia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  <w:lang w:val="en-US" w:eastAsia="zh-CN"/>
        </w:rPr>
        <w:t>3.提供产品合格证、第三方（CMA、CNAS认证）检测报告等质量证明材料，确保质量可追溯。</w:t>
      </w:r>
    </w:p>
    <w:p w14:paraId="262FD71B">
      <w:pPr>
        <w:rPr>
          <w:rFonts w:hint="eastAsia" w:ascii="宋体" w:hAnsi="宋体" w:cs="宋体" w:eastAsiaTheme="minorEastAsia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  <w:lang w:val="en-US" w:eastAsia="zh-CN"/>
        </w:rPr>
        <w:t>4.</w:t>
      </w:r>
      <w:r>
        <w:rPr>
          <w:rFonts w:hint="eastAsia" w:ascii="宋体" w:hAnsi="宋体" w:cs="宋体" w:eastAsiaTheme="minorEastAsia"/>
          <w:sz w:val="24"/>
          <w:highlight w:val="none"/>
          <w:lang w:val="en-US" w:eastAsia="zh-CN"/>
        </w:rPr>
        <w:t>提供免费更换安装服务</w:t>
      </w:r>
    </w:p>
    <w:p w14:paraId="1E219FDC">
      <w:pPr>
        <w:rPr>
          <w:rFonts w:hint="eastAsia" w:ascii="宋体" w:hAnsi="宋体" w:cs="宋体" w:eastAsiaTheme="minorEastAsia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  <w:lang w:val="en-US" w:eastAsia="zh-CN"/>
        </w:rPr>
        <w:t>5.</w:t>
      </w:r>
      <w:r>
        <w:rPr>
          <w:rFonts w:hint="eastAsia" w:ascii="宋体" w:hAnsi="宋体" w:cs="宋体" w:eastAsiaTheme="minorEastAsia"/>
          <w:sz w:val="24"/>
          <w:highlight w:val="none"/>
          <w:lang w:val="en-US" w:eastAsia="zh-CN"/>
        </w:rPr>
        <w:t>现场施工人员需提供电工证</w:t>
      </w:r>
    </w:p>
    <w:p w14:paraId="0171242F">
      <w:pPr>
        <w:rPr>
          <w:rFonts w:hint="eastAsia" w:ascii="宋体" w:hAnsi="宋体" w:cs="宋体" w:eastAsiaTheme="minorEastAsia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highlight w:val="none"/>
          <w:lang w:val="en-US" w:eastAsia="zh-CN"/>
        </w:rPr>
        <w:t>6.</w:t>
      </w:r>
      <w:r>
        <w:rPr>
          <w:rFonts w:hint="eastAsia" w:ascii="宋体" w:hAnsi="宋体" w:cs="宋体" w:eastAsiaTheme="minorEastAsia"/>
          <w:sz w:val="24"/>
          <w:highlight w:val="none"/>
          <w:lang w:val="en-US" w:eastAsia="zh-CN"/>
        </w:rPr>
        <w:t>质保三年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BCE394"/>
    <w:multiLevelType w:val="singleLevel"/>
    <w:tmpl w:val="B6BCE39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174F3"/>
    <w:rsid w:val="17CE663B"/>
    <w:rsid w:val="29BC16F7"/>
    <w:rsid w:val="3D2C6F16"/>
    <w:rsid w:val="48C209AA"/>
    <w:rsid w:val="4A0531B4"/>
    <w:rsid w:val="6661166B"/>
    <w:rsid w:val="669A452F"/>
    <w:rsid w:val="6951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"/>
    <w:basedOn w:val="1"/>
    <w:autoRedefine/>
    <w:qFormat/>
    <w:uiPriority w:val="1"/>
    <w:pPr>
      <w:spacing w:after="0" w:line="400" w:lineRule="exact"/>
    </w:pPr>
    <w:rPr>
      <w:rFonts w:eastAsia="宋体"/>
      <w:sz w:val="24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3628</Words>
  <Characters>4301</Characters>
  <Lines>0</Lines>
  <Paragraphs>0</Paragraphs>
  <TotalTime>0</TotalTime>
  <ScaleCrop>false</ScaleCrop>
  <LinksUpToDate>false</LinksUpToDate>
  <CharactersWithSpaces>4388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2026-09-01T05:09:00Z</dcterms:created>
  <dc:creator>文明</dc:creator>
  <cp:lastModifiedBy>赵飒培</cp:lastModifiedBy>
  <dcterms:modified xsi:type="dcterms:W3CDTF">2026-10-20T08:23:19Z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290D768FB7F840CA9CDDB660859846E7_13</vt:lpwstr>
  </property>
  <property fmtid="{D5CDD505-2E9C-101B-9397-08002B2CF9AE}" pid="4" name="KSOTemplateDocerSaveRecord">
    <vt:lpwstr>eyJoZGlkIjoiYzBiNTMwYzZiMmI1NjVlMDcyODY0MjdmYTEyMWI0ZmMiLCJ1c2VySWQiOiIxNDc0OTExMDA2In0=</vt:lpwstr>
  </property>
</Properties>
</file>