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传染病区综合楼办公家具采购项目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5</w:t>
      </w:r>
      <w:r>
        <w:rPr>
          <w:rFonts w:hint="eastAsia" w:ascii="黑体" w:hAnsi="黑体" w:eastAsia="黑体" w:cs="黑体"/>
          <w:sz w:val="44"/>
          <w:szCs w:val="44"/>
        </w:rPr>
        <w:t>月</w:t>
      </w:r>
      <w:r>
        <w:rPr>
          <w:rFonts w:hint="eastAsia" w:ascii="黑体" w:hAnsi="黑体" w:eastAsia="黑体" w:cs="黑体"/>
          <w:sz w:val="44"/>
          <w:szCs w:val="44"/>
          <w:lang w:val="en-US" w:eastAsia="zh-CN"/>
        </w:rPr>
        <w:t>13</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传染病区综合楼办公家具采购项目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传染病区综合楼办公家具采购项目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1211DA82">
      <w:pPr>
        <w:pStyle w:val="20"/>
        <w:spacing w:line="578" w:lineRule="exact"/>
        <w:ind w:firstLine="640" w:firstLineChars="200"/>
        <w:rPr>
          <w:rFonts w:hint="default" w:ascii="仿宋_GB2312" w:eastAsia="仿宋_GB2312" w:hAnsiTheme="minorHAnsi"/>
          <w:sz w:val="32"/>
          <w:szCs w:val="32"/>
          <w:lang w:val="en-US"/>
        </w:rPr>
      </w:pPr>
      <w:r>
        <w:rPr>
          <w:rFonts w:hint="eastAsia" w:ascii="仿宋_GB2312" w:eastAsia="仿宋_GB2312" w:hAnsiTheme="minorHAnsi"/>
          <w:sz w:val="32"/>
          <w:szCs w:val="32"/>
          <w:lang w:val="en-US" w:eastAsia="zh-CN"/>
        </w:rPr>
        <w:t>项目概况：为我院传染病区采购一批办公家具，详细要求见附件</w:t>
      </w:r>
    </w:p>
    <w:p w14:paraId="343D5069">
      <w:pPr>
        <w:pStyle w:val="20"/>
        <w:spacing w:line="578" w:lineRule="exact"/>
        <w:ind w:firstLine="640" w:firstLineChars="200"/>
        <w:rPr>
          <w:rFonts w:hint="default"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预算：227680元</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35CFB5C5">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具有合法的经营资质，具备承担本项目的能力；</w:t>
      </w:r>
    </w:p>
    <w:p w14:paraId="724F6914">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2、投标单位不得有商业贿赂和不正当欺诈行为。如投标单位被证实有以上行为，将被视为不合格；</w:t>
      </w:r>
    </w:p>
    <w:p w14:paraId="74E2C842">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3、投标单位经营行为必须符合国家法律法规和有关规定；</w:t>
      </w:r>
    </w:p>
    <w:p w14:paraId="7D417288">
      <w:pPr>
        <w:pStyle w:val="2"/>
        <w:spacing w:line="578"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4、本项目不接受联合体投标，不允许分包和转包。</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  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月 </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5"/>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w:t>
      </w:r>
      <w:r>
        <w:rPr>
          <w:rFonts w:hint="eastAsia" w:ascii="仿宋_GB2312" w:eastAsia="仿宋_GB2312"/>
          <w:b/>
          <w:sz w:val="32"/>
          <w:szCs w:val="32"/>
          <w:lang w:val="en-US" w:eastAsia="zh-CN"/>
        </w:rPr>
        <w:t>三楼</w:t>
      </w:r>
    </w:p>
    <w:p w14:paraId="219F957E">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5D2ABDD4">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41E66C68">
      <w:pPr>
        <w:pStyle w:val="2"/>
        <w:spacing w:line="560" w:lineRule="exact"/>
        <w:rPr>
          <w:rFonts w:ascii="仿宋_GB2312" w:eastAsia="仿宋_GB2312"/>
          <w:sz w:val="32"/>
          <w:szCs w:val="32"/>
        </w:rPr>
      </w:pPr>
    </w:p>
    <w:p w14:paraId="3327BE17">
      <w:pPr>
        <w:pStyle w:val="2"/>
        <w:spacing w:line="560" w:lineRule="exact"/>
        <w:rPr>
          <w:rFonts w:ascii="仿宋_GB2312" w:eastAsia="仿宋_GB2312"/>
          <w:sz w:val="32"/>
          <w:szCs w:val="32"/>
        </w:rPr>
      </w:pPr>
    </w:p>
    <w:p w14:paraId="2140AE55">
      <w:pPr>
        <w:pStyle w:val="2"/>
        <w:spacing w:line="560" w:lineRule="exact"/>
        <w:rPr>
          <w:rFonts w:ascii="仿宋_GB2312" w:eastAsia="仿宋_GB2312"/>
          <w:sz w:val="32"/>
          <w:szCs w:val="32"/>
        </w:rPr>
      </w:pPr>
    </w:p>
    <w:p w14:paraId="47544CD0">
      <w:pPr>
        <w:pStyle w:val="2"/>
        <w:spacing w:line="560" w:lineRule="exact"/>
        <w:rPr>
          <w:rFonts w:ascii="仿宋_GB2312" w:eastAsia="仿宋_GB2312"/>
          <w:sz w:val="32"/>
          <w:szCs w:val="32"/>
        </w:rPr>
      </w:pPr>
    </w:p>
    <w:p w14:paraId="03E3B39E">
      <w:pPr>
        <w:pStyle w:val="2"/>
        <w:spacing w:line="560" w:lineRule="exact"/>
        <w:rPr>
          <w:rFonts w:ascii="仿宋_GB2312" w:eastAsia="仿宋_GB2312"/>
          <w:sz w:val="32"/>
          <w:szCs w:val="32"/>
        </w:rPr>
      </w:pPr>
    </w:p>
    <w:p w14:paraId="28B2C808">
      <w:pPr>
        <w:pStyle w:val="2"/>
        <w:spacing w:line="560" w:lineRule="exact"/>
        <w:rPr>
          <w:rFonts w:ascii="仿宋_GB2312" w:eastAsia="仿宋_GB2312"/>
          <w:sz w:val="32"/>
          <w:szCs w:val="32"/>
        </w:rPr>
      </w:pPr>
    </w:p>
    <w:p w14:paraId="5A553E4C">
      <w:pPr>
        <w:pStyle w:val="2"/>
        <w:spacing w:line="560" w:lineRule="exact"/>
        <w:rPr>
          <w:rFonts w:ascii="仿宋_GB2312" w:eastAsia="仿宋_GB2312"/>
          <w:sz w:val="32"/>
          <w:szCs w:val="32"/>
        </w:rPr>
      </w:pPr>
    </w:p>
    <w:p w14:paraId="5B2FB72D">
      <w:pPr>
        <w:pStyle w:val="2"/>
        <w:spacing w:line="560" w:lineRule="exact"/>
        <w:rPr>
          <w:rFonts w:ascii="仿宋_GB2312" w:eastAsia="仿宋_GB2312"/>
          <w:sz w:val="32"/>
          <w:szCs w:val="32"/>
        </w:rPr>
      </w:pPr>
    </w:p>
    <w:p w14:paraId="3169CDF4">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77B89AB5">
      <w:pPr>
        <w:pStyle w:val="2"/>
      </w:pPr>
    </w:p>
    <w:p w14:paraId="58130B14">
      <w:pPr>
        <w:pStyle w:val="2"/>
      </w:pPr>
    </w:p>
    <w:p w14:paraId="7CF4626B">
      <w:pPr>
        <w:pStyle w:val="2"/>
      </w:pPr>
    </w:p>
    <w:p w14:paraId="5906C354">
      <w:pPr>
        <w:pStyle w:val="2"/>
      </w:pPr>
    </w:p>
    <w:p w14:paraId="6B90A9E2">
      <w:pPr>
        <w:pStyle w:val="2"/>
      </w:pPr>
    </w:p>
    <w:p w14:paraId="490A6E6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w:t>
      </w: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715"/>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95" w:type="dxa"/>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715"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195" w:type="dxa"/>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15"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w:t>
            </w:r>
            <w:r>
              <w:rPr>
                <w:rFonts w:hint="eastAsia" w:ascii="宋体" w:hAnsi="宋体" w:cs="宋体"/>
                <w:color w:val="000000" w:themeColor="text1"/>
                <w:szCs w:val="21"/>
                <w14:textFill>
                  <w14:solidFill>
                    <w14:schemeClr w14:val="tx1"/>
                  </w14:solidFill>
                </w14:textFill>
              </w:rPr>
              <w:t xml:space="preserve">部分： </w:t>
            </w:r>
            <w:r>
              <w:rPr>
                <w:rFonts w:hint="eastAsia" w:ascii="宋体" w:hAnsi="宋体" w:cs="宋体"/>
                <w:color w:val="000000" w:themeColor="text1"/>
                <w:szCs w:val="21"/>
                <w:u w:val="single"/>
                <w:lang w:val="en-US" w:eastAsia="zh-CN"/>
                <w14:textFill>
                  <w14:solidFill>
                    <w14:schemeClr w14:val="tx1"/>
                  </w14:solidFill>
                </w14:textFill>
              </w:rPr>
              <w:t>45</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5B2375">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商务</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195" w:type="dxa"/>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715"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w:t>
            </w:r>
            <w:r>
              <w:rPr>
                <w:rFonts w:hint="eastAsia" w:ascii="宋体" w:hAnsi="宋体" w:cs="宋体"/>
                <w:color w:val="000000" w:themeColor="text1"/>
                <w:szCs w:val="21"/>
                <w:lang w:val="en-US" w:eastAsia="zh-CN"/>
                <w14:textFill>
                  <w14:solidFill>
                    <w14:schemeClr w14:val="tx1"/>
                  </w14:solidFill>
                </w14:textFill>
              </w:rPr>
              <w:t>且报价最低</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val="en-US" w:eastAsia="zh-CN"/>
                <w14:textFill>
                  <w14:solidFill>
                    <w14:schemeClr w14:val="tx1"/>
                  </w14:solidFill>
                </w14:textFill>
              </w:rPr>
              <w:t>{如出现响应报价低于全部通过符合性审查供应商报价平均值50%的，应启动异常低价审查程序，要求报价人提供书面证明证明其合理性}</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tc>
        <w:tc>
          <w:tcPr>
            <w:tcW w:w="5157" w:type="dxa"/>
            <w:vAlign w:val="center"/>
          </w:tcPr>
          <w:p w14:paraId="0FE4FD8F">
            <w:pPr>
              <w:spacing w:before="120" w:after="120" w:line="360" w:lineRule="auto"/>
              <w:rPr>
                <w:rFonts w:hint="default" w:ascii="宋体" w:hAnsi="宋体" w:cs="宋体" w:eastAsiaTheme="minorEastAsia"/>
                <w:color w:val="FF0000"/>
                <w:szCs w:val="21"/>
                <w:lang w:val="en-US" w:eastAsia="zh-CN"/>
              </w:rPr>
            </w:pPr>
            <w:r>
              <w:rPr>
                <w:rFonts w:hint="eastAsia" w:ascii="宋体" w:hAnsi="宋体" w:cs="宋体"/>
                <w:color w:val="FF0000"/>
                <w:szCs w:val="21"/>
              </w:rPr>
              <w:t>报价得分=（</w:t>
            </w:r>
            <w:r>
              <w:rPr>
                <w:rFonts w:hint="eastAsia" w:ascii="宋体" w:hAnsi="宋体" w:cs="宋体"/>
                <w:color w:val="FF0000"/>
                <w:szCs w:val="21"/>
                <w:lang w:val="en-US" w:eastAsia="zh-CN"/>
              </w:rPr>
              <w:t>基准价</w:t>
            </w:r>
            <w:r>
              <w:rPr>
                <w:rFonts w:hint="eastAsia" w:ascii="宋体" w:hAnsi="宋体" w:cs="宋体"/>
                <w:color w:val="FF0000"/>
                <w:szCs w:val="21"/>
              </w:rPr>
              <w:t>/</w:t>
            </w:r>
            <w:r>
              <w:rPr>
                <w:rFonts w:hint="eastAsia" w:ascii="宋体" w:hAnsi="宋体" w:cs="宋体"/>
                <w:color w:val="FF0000"/>
                <w:szCs w:val="21"/>
                <w:lang w:val="en-US" w:eastAsia="zh-CN"/>
              </w:rPr>
              <w:t>报价</w:t>
            </w:r>
            <w:r>
              <w:rPr>
                <w:rFonts w:hint="eastAsia" w:ascii="宋体" w:hAnsi="宋体" w:cs="宋体"/>
                <w:color w:val="FF0000"/>
                <w:szCs w:val="21"/>
              </w:rPr>
              <w:t xml:space="preserve">）* </w:t>
            </w:r>
            <w:r>
              <w:rPr>
                <w:rFonts w:hint="eastAsia" w:ascii="宋体" w:hAnsi="宋体" w:cs="宋体"/>
                <w:color w:val="FF0000"/>
                <w:szCs w:val="21"/>
                <w:lang w:val="en-US" w:eastAsia="zh-CN"/>
              </w:rPr>
              <w:t>40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95" w:type="dxa"/>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715"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分）</w:t>
            </w:r>
          </w:p>
        </w:tc>
        <w:tc>
          <w:tcPr>
            <w:tcW w:w="5157" w:type="dxa"/>
          </w:tcPr>
          <w:p w14:paraId="3F69F003">
            <w:pPr>
              <w:pStyle w:val="2"/>
              <w:numPr>
                <w:ilvl w:val="0"/>
                <w:numId w:val="8"/>
              </w:numP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产品部份（35）根据响应文件中参数响应情况进行评分，除不允许负偏离的参数不参与评分外，每有一项不满足的扣0.2分。技术响应得分低于 23 分(不包括23 分)，视为无效投标。；</w:t>
            </w:r>
          </w:p>
          <w:p w14:paraId="0F97D61B">
            <w:pPr>
              <w:pStyle w:val="2"/>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项目交货验收方案（5分）供应商根据商务需求表中其他售后服务要求的交货及验收要求，提供供货、安装调试实施方案，根据其完善程度，在0-5分范围内打分；</w:t>
            </w:r>
          </w:p>
          <w:p w14:paraId="2EB2FAF3">
            <w:pPr>
              <w:pStyle w:val="2"/>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售后方案（5分）供应商根据商务需求表中的售后服务项目要求，提供售后服务整体方案，根据其完整程度在0-5分范围内打分。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95" w:type="dxa"/>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715"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商务部分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53BC99">
            <w:pPr>
              <w:numPr>
                <w:ilvl w:val="0"/>
                <w:numId w:val="9"/>
              </w:numPr>
              <w:autoSpaceDE w:val="0"/>
              <w:autoSpaceDN w:val="0"/>
              <w:adjustRightInd w:val="0"/>
              <w:spacing w:before="120" w:after="120" w:line="360" w:lineRule="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企业业绩（6分）：</w:t>
            </w:r>
            <w:r>
              <w:rPr>
                <w:rFonts w:hint="eastAsia" w:ascii="宋体" w:hAnsi="宋体" w:cs="宋体"/>
                <w:color w:val="000000" w:themeColor="text1"/>
                <w:kern w:val="0"/>
                <w:szCs w:val="21"/>
                <w14:textFill>
                  <w14:solidFill>
                    <w14:schemeClr w14:val="tx1"/>
                  </w14:solidFill>
                </w14:textFill>
              </w:rPr>
              <w:t xml:space="preserve">投标人具有 2023 年 1 月 1 日（以合同签订时间为准）包含本项目核心产品的项目业绩，每提供一份业绩得2 分，最多得 </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lang w:val="en-US" w:eastAsia="zh-CN"/>
                <w14:textFill>
                  <w14:solidFill>
                    <w14:schemeClr w14:val="tx1"/>
                  </w14:solidFill>
                </w14:textFill>
              </w:rPr>
              <w:t>；</w:t>
            </w:r>
          </w:p>
          <w:p w14:paraId="6F51BD10">
            <w:pPr>
              <w:pStyle w:val="2"/>
              <w:numPr>
                <w:ilvl w:val="0"/>
                <w:numId w:val="9"/>
              </w:numPr>
              <w:rPr>
                <w:rFonts w:hint="default"/>
                <w:lang w:val="en-US"/>
              </w:rPr>
            </w:pPr>
            <w:r>
              <w:rPr>
                <w:rFonts w:hint="eastAsia"/>
                <w:lang w:val="en-US" w:eastAsia="zh-CN"/>
              </w:rPr>
              <w:t>质保期（6分）：</w:t>
            </w:r>
            <w:r>
              <w:rPr>
                <w:rFonts w:hint="default"/>
                <w:lang w:val="en-US"/>
              </w:rPr>
              <w:t xml:space="preserve">供应商所投产品质保期在满足招标文件要求的基础上每增加 </w:t>
            </w:r>
            <w:r>
              <w:rPr>
                <w:rFonts w:hint="eastAsia"/>
                <w:lang w:val="en-US" w:eastAsia="zh-CN"/>
              </w:rPr>
              <w:t>1</w:t>
            </w:r>
            <w:r>
              <w:rPr>
                <w:rFonts w:hint="default"/>
                <w:lang w:val="en-US"/>
              </w:rPr>
              <w:t>年的，得</w:t>
            </w:r>
            <w:r>
              <w:rPr>
                <w:rFonts w:hint="eastAsia"/>
                <w:lang w:val="en-US" w:eastAsia="zh-CN"/>
              </w:rPr>
              <w:t>2</w:t>
            </w:r>
            <w:r>
              <w:rPr>
                <w:rFonts w:hint="default"/>
                <w:lang w:val="en-US"/>
              </w:rPr>
              <w:t xml:space="preserve"> 分，最多得</w:t>
            </w:r>
            <w:r>
              <w:rPr>
                <w:rFonts w:hint="eastAsia"/>
                <w:lang w:val="en-US" w:eastAsia="zh-CN"/>
              </w:rPr>
              <w:t>6</w:t>
            </w:r>
            <w:r>
              <w:rPr>
                <w:rFonts w:hint="default"/>
                <w:lang w:val="en-US"/>
              </w:rPr>
              <w:t xml:space="preserve"> 分</w:t>
            </w:r>
            <w:r>
              <w:rPr>
                <w:rFonts w:hint="eastAsia"/>
                <w:lang w:val="en-US" w:eastAsia="zh-CN"/>
              </w:rPr>
              <w:t>；</w:t>
            </w:r>
          </w:p>
          <w:p w14:paraId="7C52130F">
            <w:pPr>
              <w:pStyle w:val="2"/>
              <w:numPr>
                <w:ilvl w:val="0"/>
                <w:numId w:val="9"/>
              </w:numPr>
              <w:rPr>
                <w:rFonts w:hint="default"/>
                <w:lang w:val="en-US"/>
              </w:rPr>
            </w:pPr>
            <w:r>
              <w:rPr>
                <w:rFonts w:hint="default"/>
                <w:lang w:val="en-US"/>
              </w:rPr>
              <w:t>环保清单产品(</w:t>
            </w:r>
            <w:r>
              <w:rPr>
                <w:rFonts w:hint="eastAsia"/>
                <w:lang w:val="en-US" w:eastAsia="zh-CN"/>
              </w:rPr>
              <w:t>3</w:t>
            </w:r>
            <w:r>
              <w:rPr>
                <w:rFonts w:hint="default"/>
                <w:lang w:val="en-US"/>
              </w:rPr>
              <w:t>分)</w:t>
            </w:r>
            <w:r>
              <w:rPr>
                <w:rFonts w:hint="eastAsia"/>
                <w:lang w:val="en-US" w:eastAsia="zh-CN"/>
              </w:rPr>
              <w:t>：投标产品为环境标志产品政府采购品目清单内的产品，得3分，没有不得分。投标人须在投标文件中附国家确定的认证机构出具的、处于有效期之内的《中国环境标志产品认证证书》复印件，否则不予认可。</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格式自拟</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技术部份</w:t>
            </w:r>
          </w:p>
        </w:tc>
        <w:tc>
          <w:tcPr>
            <w:tcW w:w="5229" w:type="dxa"/>
            <w:tcBorders>
              <w:top w:val="single" w:color="auto" w:sz="4" w:space="0"/>
              <w:bottom w:val="single" w:color="auto" w:sz="4" w:space="0"/>
            </w:tcBorders>
            <w:vAlign w:val="center"/>
          </w:tcPr>
          <w:p w14:paraId="5C901EE3">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包含产品详细参数（标注正负偏离）、项目验收方案、售后方案</w:t>
            </w:r>
          </w:p>
        </w:tc>
      </w:tr>
      <w:tr w14:paraId="303B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F98EEDC">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75BB299C">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商务部份</w:t>
            </w:r>
          </w:p>
        </w:tc>
        <w:tc>
          <w:tcPr>
            <w:tcW w:w="5229" w:type="dxa"/>
            <w:tcBorders>
              <w:top w:val="single" w:color="auto" w:sz="4" w:space="0"/>
              <w:bottom w:val="single" w:color="auto" w:sz="4" w:space="0"/>
            </w:tcBorders>
            <w:vAlign w:val="center"/>
          </w:tcPr>
          <w:p w14:paraId="3CB715DB">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企业业绩、环保证明</w:t>
            </w:r>
            <w:bookmarkStart w:id="15" w:name="_GoBack"/>
            <w:bookmarkEnd w:id="15"/>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3BEA3F04">
      <w:pPr>
        <w:pStyle w:val="2"/>
        <w:rPr>
          <w:rFonts w:ascii="仿宋_GB2312" w:eastAsia="仿宋_GB2312"/>
          <w:color w:val="000000"/>
          <w:sz w:val="28"/>
          <w:szCs w:val="28"/>
        </w:rPr>
      </w:pPr>
    </w:p>
    <w:p w14:paraId="700223B4">
      <w:pPr>
        <w:pStyle w:val="2"/>
        <w:rPr>
          <w:rFonts w:ascii="仿宋_GB2312" w:eastAsia="仿宋_GB2312"/>
          <w:color w:val="000000"/>
          <w:sz w:val="28"/>
          <w:szCs w:val="28"/>
        </w:rPr>
      </w:pPr>
    </w:p>
    <w:p w14:paraId="2CED07B4">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304219257"/>
      <w:bookmarkStart w:id="1" w:name="_Toc261708863"/>
      <w:bookmarkStart w:id="2" w:name="_Toc258360158"/>
      <w:bookmarkStart w:id="3" w:name="_Toc258360269"/>
      <w:bookmarkStart w:id="4" w:name="_Toc337475854"/>
      <w:bookmarkStart w:id="5" w:name="_Toc320878640"/>
      <w:bookmarkStart w:id="6" w:name="_Toc17030"/>
      <w:bookmarkStart w:id="7" w:name="_Toc258333636"/>
      <w:bookmarkStart w:id="8" w:name="_Toc15313"/>
      <w:bookmarkStart w:id="9" w:name="_Toc10762"/>
      <w:bookmarkStart w:id="10" w:name="_Toc9548"/>
      <w:bookmarkStart w:id="11" w:name="_Toc258354146"/>
      <w:bookmarkStart w:id="12" w:name="_Toc337554724"/>
      <w:bookmarkStart w:id="13" w:name="_Toc219626747"/>
      <w:bookmarkStart w:id="14" w:name="_Toc24889606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0633BFCF">
      <w:pPr>
        <w:pStyle w:val="2"/>
        <w:rPr>
          <w:rFonts w:ascii="黑体" w:eastAsia="黑体"/>
          <w:color w:val="000000"/>
          <w:sz w:val="32"/>
          <w:szCs w:val="32"/>
        </w:rPr>
      </w:pPr>
    </w:p>
    <w:p w14:paraId="223C7D4C">
      <w:pPr>
        <w:pStyle w:val="2"/>
        <w:rPr>
          <w:rFonts w:ascii="黑体" w:eastAsia="黑体"/>
          <w:color w:val="000000"/>
          <w:sz w:val="32"/>
          <w:szCs w:val="32"/>
        </w:rPr>
      </w:pPr>
    </w:p>
    <w:p w14:paraId="33390337">
      <w:pPr>
        <w:pStyle w:val="2"/>
        <w:rPr>
          <w:rFonts w:ascii="黑体" w:eastAsia="黑体"/>
          <w:color w:val="000000"/>
          <w:sz w:val="32"/>
          <w:szCs w:val="32"/>
        </w:rPr>
      </w:pPr>
    </w:p>
    <w:p w14:paraId="2F4DF618">
      <w:pPr>
        <w:pStyle w:val="2"/>
        <w:rPr>
          <w:rFonts w:ascii="黑体" w:eastAsia="黑体"/>
          <w:color w:val="000000"/>
          <w:sz w:val="32"/>
          <w:szCs w:val="32"/>
        </w:rPr>
      </w:pPr>
    </w:p>
    <w:p w14:paraId="3EC4A3F2">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32D583F"/>
    <w:multiLevelType w:val="singleLevel"/>
    <w:tmpl w:val="F32D583F"/>
    <w:lvl w:ilvl="0" w:tentative="0">
      <w:start w:val="1"/>
      <w:numFmt w:val="decimal"/>
      <w:lvlText w:val="%1."/>
      <w:lvlJc w:val="left"/>
      <w:pPr>
        <w:tabs>
          <w:tab w:val="left" w:pos="312"/>
        </w:tabs>
      </w:pPr>
    </w:lvl>
  </w:abstractNum>
  <w:abstractNum w:abstractNumId="5">
    <w:nsid w:val="F5F59E80"/>
    <w:multiLevelType w:val="singleLevel"/>
    <w:tmpl w:val="F5F59E80"/>
    <w:lvl w:ilvl="0" w:tentative="0">
      <w:start w:val="1"/>
      <w:numFmt w:val="decimal"/>
      <w:suff w:val="space"/>
      <w:lvlText w:val="%1."/>
      <w:lvlJc w:val="left"/>
    </w:lvl>
  </w:abstractNum>
  <w:abstractNum w:abstractNumId="6">
    <w:nsid w:val="3636DBDA"/>
    <w:multiLevelType w:val="singleLevel"/>
    <w:tmpl w:val="3636DBDA"/>
    <w:lvl w:ilvl="0" w:tentative="0">
      <w:start w:val="1"/>
      <w:numFmt w:val="chineseCounting"/>
      <w:suff w:val="space"/>
      <w:lvlText w:val="第%1章"/>
      <w:lvlJc w:val="left"/>
      <w:rPr>
        <w:rFonts w:hint="eastAsia"/>
      </w:rPr>
    </w:lvl>
  </w:abstractNum>
  <w:abstractNum w:abstractNumId="7">
    <w:nsid w:val="436A2361"/>
    <w:multiLevelType w:val="singleLevel"/>
    <w:tmpl w:val="436A2361"/>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6"/>
  </w:num>
  <w:num w:numId="2">
    <w:abstractNumId w:val="8"/>
  </w:num>
  <w:num w:numId="3">
    <w:abstractNumId w:val="3"/>
  </w:num>
  <w:num w:numId="4">
    <w:abstractNumId w:val="2"/>
  </w:num>
  <w:num w:numId="5">
    <w:abstractNumId w:val="0"/>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396F97"/>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232F2"/>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A8B7C6A"/>
    <w:rsid w:val="2B0A7B44"/>
    <w:rsid w:val="2C530EAC"/>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B9F58D3"/>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AEF445E"/>
    <w:rsid w:val="4B4638AD"/>
    <w:rsid w:val="4B70660F"/>
    <w:rsid w:val="4B7C13C2"/>
    <w:rsid w:val="4B9C1C97"/>
    <w:rsid w:val="4BC500AA"/>
    <w:rsid w:val="4C1C5AD5"/>
    <w:rsid w:val="4CE871BB"/>
    <w:rsid w:val="4D242965"/>
    <w:rsid w:val="4EC37CC8"/>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77A2FE3"/>
    <w:rsid w:val="5AD50E25"/>
    <w:rsid w:val="5B736C6D"/>
    <w:rsid w:val="5C0B1608"/>
    <w:rsid w:val="5CEA2A63"/>
    <w:rsid w:val="5D327E39"/>
    <w:rsid w:val="5D4D3632"/>
    <w:rsid w:val="5D4E0C6B"/>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273E2"/>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 w:type="character" w:customStyle="1" w:styleId="25">
    <w:name w:val="font91"/>
    <w:basedOn w:val="12"/>
    <w:qFormat/>
    <w:uiPriority w:val="0"/>
    <w:rPr>
      <w:rFonts w:hint="default" w:ascii="Times New Roman" w:hAnsi="Times New Roman" w:cs="Times New Roman"/>
      <w:color w:val="000000"/>
      <w:sz w:val="20"/>
      <w:szCs w:val="20"/>
      <w:u w:val="none"/>
    </w:rPr>
  </w:style>
  <w:style w:type="character" w:customStyle="1" w:styleId="26">
    <w:name w:val="font51"/>
    <w:basedOn w:val="12"/>
    <w:qFormat/>
    <w:uiPriority w:val="0"/>
    <w:rPr>
      <w:rFonts w:hint="default" w:ascii="Times New Roman" w:hAnsi="Times New Roman" w:cs="Times New Roman"/>
      <w:color w:val="000000"/>
      <w:sz w:val="20"/>
      <w:szCs w:val="20"/>
      <w:u w:val="none"/>
    </w:rPr>
  </w:style>
  <w:style w:type="character" w:customStyle="1" w:styleId="27">
    <w:name w:val="font8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3872</Words>
  <Characters>4012</Characters>
  <Lines>826</Lines>
  <Paragraphs>946</Paragraphs>
  <TotalTime>25</TotalTime>
  <ScaleCrop>false</ScaleCrop>
  <LinksUpToDate>false</LinksUpToDate>
  <CharactersWithSpaces>4516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2026-05-14T00:10:00Z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