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6B3CB79D">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院内西南环道沥青路面重新铺装</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建设项目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5"/>
      </w:pPr>
    </w:p>
    <w:p w14:paraId="1FEF1A0D">
      <w:pPr>
        <w:jc w:val="both"/>
        <w:rPr>
          <w:rFonts w:hint="eastAsia" w:ascii="黑体" w:hAnsi="黑体" w:eastAsia="黑体" w:cs="黑体"/>
          <w:sz w:val="52"/>
          <w:szCs w:val="52"/>
        </w:rPr>
      </w:pPr>
    </w:p>
    <w:p w14:paraId="7691CDD7">
      <w:pPr>
        <w:pStyle w:val="15"/>
        <w:rPr>
          <w:rFonts w:hint="eastAsia" w:ascii="黑体" w:hAnsi="黑体" w:eastAsia="黑体" w:cs="黑体"/>
          <w:sz w:val="52"/>
          <w:szCs w:val="52"/>
        </w:rPr>
      </w:pPr>
    </w:p>
    <w:p w14:paraId="4D50738A">
      <w:pPr>
        <w:pStyle w:val="15"/>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5"/>
        <w:rPr>
          <w:rFonts w:hint="eastAsia" w:ascii="黑体" w:hAnsi="黑体" w:eastAsia="黑体" w:cs="黑体"/>
          <w:sz w:val="52"/>
          <w:szCs w:val="52"/>
        </w:rPr>
      </w:pPr>
    </w:p>
    <w:p w14:paraId="71F39C86">
      <w:pPr>
        <w:pStyle w:val="15"/>
        <w:rPr>
          <w:rFonts w:hint="eastAsia" w:ascii="黑体" w:hAnsi="黑体" w:eastAsia="黑体" w:cs="黑体"/>
          <w:sz w:val="52"/>
          <w:szCs w:val="52"/>
        </w:rPr>
      </w:pPr>
    </w:p>
    <w:p w14:paraId="069FCE74">
      <w:pPr>
        <w:pStyle w:val="15"/>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5</w:t>
      </w:r>
      <w:r>
        <w:rPr>
          <w:rFonts w:hint="eastAsia" w:ascii="黑体" w:hAnsi="黑体" w:eastAsia="黑体" w:cs="黑体"/>
          <w:sz w:val="44"/>
          <w:szCs w:val="44"/>
        </w:rPr>
        <w:t>月</w:t>
      </w:r>
      <w:r>
        <w:rPr>
          <w:rFonts w:hint="eastAsia" w:ascii="黑体" w:hAnsi="黑体" w:eastAsia="黑体" w:cs="黑体"/>
          <w:sz w:val="44"/>
          <w:szCs w:val="44"/>
          <w:lang w:val="en-US" w:eastAsia="zh-CN"/>
        </w:rPr>
        <w:t>25</w:t>
      </w:r>
      <w:r>
        <w:rPr>
          <w:rFonts w:hint="eastAsia" w:ascii="黑体" w:hAnsi="黑体" w:eastAsia="黑体" w:cs="黑体"/>
          <w:sz w:val="44"/>
          <w:szCs w:val="44"/>
        </w:rPr>
        <w:t>日</w:t>
      </w:r>
    </w:p>
    <w:p w14:paraId="61C63DE4">
      <w:pPr>
        <w:pStyle w:val="15"/>
      </w:pPr>
    </w:p>
    <w:p w14:paraId="7E149AC4">
      <w:pPr>
        <w:pStyle w:val="15"/>
        <w:rPr>
          <w:rFonts w:hint="eastAsia" w:ascii="黑体" w:hAnsi="黑体" w:eastAsia="黑体" w:cs="黑体"/>
          <w:sz w:val="32"/>
          <w:szCs w:val="32"/>
        </w:rPr>
      </w:pPr>
    </w:p>
    <w:p w14:paraId="362CF452">
      <w:pPr>
        <w:pStyle w:val="15"/>
        <w:rPr>
          <w:rFonts w:hint="eastAsia" w:ascii="黑体" w:hAnsi="黑体" w:eastAsia="黑体" w:cs="黑体"/>
          <w:sz w:val="32"/>
          <w:szCs w:val="32"/>
        </w:rPr>
      </w:pPr>
    </w:p>
    <w:p w14:paraId="556FC650">
      <w:pPr>
        <w:pStyle w:val="15"/>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5"/>
        <w:rPr>
          <w:rFonts w:hint="eastAsia" w:ascii="黑体" w:hAnsi="黑体" w:eastAsia="黑体" w:cs="黑体"/>
          <w:sz w:val="32"/>
          <w:szCs w:val="32"/>
        </w:rPr>
      </w:pPr>
    </w:p>
    <w:p w14:paraId="38F741E9">
      <w:pPr>
        <w:pStyle w:val="15"/>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5"/>
      </w:pPr>
    </w:p>
    <w:p w14:paraId="2E998B39">
      <w:pPr>
        <w:rPr>
          <w:rFonts w:hint="eastAsia" w:ascii="黑体" w:hAnsi="黑体" w:eastAsia="黑体" w:cs="黑体"/>
          <w:sz w:val="32"/>
          <w:szCs w:val="32"/>
        </w:rPr>
      </w:pPr>
    </w:p>
    <w:p w14:paraId="31507164">
      <w:pPr>
        <w:pStyle w:val="15"/>
        <w:rPr>
          <w:rFonts w:hint="eastAsia" w:ascii="黑体" w:hAnsi="黑体" w:eastAsia="黑体" w:cs="黑体"/>
          <w:sz w:val="32"/>
          <w:szCs w:val="32"/>
        </w:rPr>
      </w:pPr>
    </w:p>
    <w:p w14:paraId="674ADDD4">
      <w:pPr>
        <w:pStyle w:val="15"/>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院内西南环道沥青路面重新铺装建设项目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院内西南环道沥青路面重新铺装建设项目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01654EF4">
      <w:pPr>
        <w:pStyle w:val="20"/>
        <w:spacing w:line="578" w:lineRule="exact"/>
        <w:ind w:firstLine="640" w:firstLineChars="200"/>
        <w:rPr>
          <w:rFonts w:hint="eastAsia"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项目概况：我院南大门口至西边2号门的环道沥青路面破损严重，存在院内交通安全隐患，需进行铺装。铺装路面面积合计1400平方米，铺装沥青厚度8cm，本工程采用上层4cm细粒式沥青混凝土（AC-13）加下面层4cm中粒式沥青混凝土(AC-16)的双层结构施工方案。</w:t>
      </w:r>
    </w:p>
    <w:p w14:paraId="73AFE32D">
      <w:pPr>
        <w:pStyle w:val="20"/>
        <w:spacing w:line="578" w:lineRule="exact"/>
        <w:ind w:left="638" w:leftChars="304" w:firstLine="0" w:firstLineChars="0"/>
        <w:rPr>
          <w:rFonts w:hint="eastAsia"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项目要求：</w:t>
      </w:r>
    </w:p>
    <w:p w14:paraId="70B7A4A2">
      <w:pPr>
        <w:pStyle w:val="20"/>
        <w:numPr>
          <w:ilvl w:val="0"/>
          <w:numId w:val="0"/>
        </w:numPr>
        <w:spacing w:line="578" w:lineRule="exact"/>
        <w:ind w:firstLine="640" w:firstLineChars="200"/>
        <w:rPr>
          <w:rFonts w:hint="eastAsia"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1.对原有沥青路面切割、铲除、清理、基层平整；</w:t>
      </w:r>
    </w:p>
    <w:p w14:paraId="0A312E62">
      <w:pPr>
        <w:pStyle w:val="20"/>
        <w:numPr>
          <w:ilvl w:val="0"/>
          <w:numId w:val="0"/>
        </w:numPr>
        <w:spacing w:line="578" w:lineRule="exact"/>
        <w:ind w:leftChars="304"/>
        <w:rPr>
          <w:rFonts w:hint="eastAsia"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2.喷洒透层油、粘层油，保证层间粘接牢固，不脱层；</w:t>
      </w:r>
    </w:p>
    <w:p w14:paraId="6C2B4488">
      <w:pPr>
        <w:pStyle w:val="20"/>
        <w:spacing w:line="578" w:lineRule="exact"/>
        <w:ind w:firstLine="640" w:firstLineChars="200"/>
        <w:rPr>
          <w:rFonts w:hint="default"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3.铺设双层热拌沥青混凝土；路面辗压成型，收光，切边修整。</w:t>
      </w:r>
    </w:p>
    <w:p w14:paraId="343D5069">
      <w:pPr>
        <w:pStyle w:val="20"/>
        <w:spacing w:line="578" w:lineRule="exact"/>
        <w:ind w:firstLine="640" w:firstLineChars="200"/>
        <w:rPr>
          <w:rFonts w:hint="default"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预算：147000.00元</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35CFB5C5">
      <w:pPr>
        <w:pStyle w:val="15"/>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具有合法的经营资质，具备承担本项目的能力；</w:t>
      </w:r>
    </w:p>
    <w:p w14:paraId="724F6914">
      <w:pPr>
        <w:pStyle w:val="15"/>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2、投标单位不得有商业贿赂和不正当欺诈行为。如投标单位被证实有以上行为，将被视为不合格；</w:t>
      </w:r>
    </w:p>
    <w:p w14:paraId="74E2C842">
      <w:pPr>
        <w:pStyle w:val="15"/>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3、投标单位经营行为必须符合国家法律法规和有关规定；</w:t>
      </w:r>
    </w:p>
    <w:p w14:paraId="7D417288">
      <w:pPr>
        <w:pStyle w:val="15"/>
        <w:spacing w:line="578"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4、本项目不接受联合体投标，不允许分包和转包。</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  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月 </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15"/>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w:t>
      </w:r>
      <w:r>
        <w:rPr>
          <w:rFonts w:hint="eastAsia" w:ascii="仿宋_GB2312" w:eastAsia="仿宋_GB2312"/>
          <w:b/>
          <w:sz w:val="32"/>
          <w:szCs w:val="32"/>
          <w:lang w:val="en-US" w:eastAsia="zh-CN"/>
        </w:rPr>
        <w:t>三楼</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5D2ABDD4">
      <w:pPr>
        <w:pStyle w:val="15"/>
        <w:rPr>
          <w:rFonts w:ascii="仿宋_GB2312" w:eastAsia="仿宋_GB2312"/>
          <w:b/>
          <w:sz w:val="32"/>
          <w:szCs w:val="32"/>
        </w:rPr>
      </w:pPr>
    </w:p>
    <w:p w14:paraId="7647B20B">
      <w:pPr>
        <w:pStyle w:val="15"/>
        <w:spacing w:line="560" w:lineRule="exact"/>
        <w:rPr>
          <w:rFonts w:ascii="仿宋_GB2312" w:eastAsia="仿宋_GB2312"/>
          <w:sz w:val="32"/>
          <w:szCs w:val="32"/>
        </w:rPr>
      </w:pPr>
    </w:p>
    <w:p w14:paraId="3169CDF4">
      <w:pPr>
        <w:pStyle w:val="15"/>
        <w:spacing w:line="560" w:lineRule="exact"/>
        <w:rPr>
          <w:rFonts w:ascii="仿宋_GB2312" w:eastAsia="仿宋_GB2312"/>
          <w:sz w:val="32"/>
          <w:szCs w:val="32"/>
        </w:rPr>
      </w:pPr>
    </w:p>
    <w:p w14:paraId="27924924">
      <w:pPr>
        <w:pStyle w:val="15"/>
        <w:spacing w:line="560" w:lineRule="exact"/>
        <w:rPr>
          <w:rFonts w:ascii="仿宋_GB2312" w:eastAsia="仿宋_GB2312"/>
          <w:sz w:val="32"/>
          <w:szCs w:val="32"/>
        </w:rPr>
      </w:pPr>
      <w:bookmarkStart w:id="16" w:name="_GoBack"/>
      <w:bookmarkEnd w:id="16"/>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5"/>
      </w:pPr>
    </w:p>
    <w:p w14:paraId="4E7ADA2F">
      <w:pPr>
        <w:pStyle w:val="15"/>
      </w:pPr>
    </w:p>
    <w:p w14:paraId="2F733C50">
      <w:pPr>
        <w:pStyle w:val="15"/>
      </w:pPr>
    </w:p>
    <w:p w14:paraId="482202A0">
      <w:pPr>
        <w:pStyle w:val="15"/>
      </w:pPr>
    </w:p>
    <w:p w14:paraId="77B89AB5">
      <w:pPr>
        <w:pStyle w:val="15"/>
      </w:pPr>
    </w:p>
    <w:p w14:paraId="58130B14">
      <w:pPr>
        <w:pStyle w:val="15"/>
      </w:pPr>
    </w:p>
    <w:p w14:paraId="7CF4626B">
      <w:pPr>
        <w:pStyle w:val="15"/>
      </w:pPr>
    </w:p>
    <w:p w14:paraId="5906C354">
      <w:pPr>
        <w:pStyle w:val="15"/>
      </w:pPr>
    </w:p>
    <w:p w14:paraId="6B90A9E2">
      <w:pPr>
        <w:pStyle w:val="15"/>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715"/>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95" w:type="dxa"/>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715"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195" w:type="dxa"/>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15"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w:t>
            </w:r>
            <w:r>
              <w:rPr>
                <w:rFonts w:hint="eastAsia" w:ascii="宋体" w:hAnsi="宋体" w:cs="宋体"/>
                <w:color w:val="000000" w:themeColor="text1"/>
                <w:szCs w:val="21"/>
                <w14:textFill>
                  <w14:solidFill>
                    <w14:schemeClr w14:val="tx1"/>
                  </w14:solidFill>
                </w14:textFill>
              </w:rPr>
              <w:t xml:space="preserve">部分： </w:t>
            </w:r>
            <w:r>
              <w:rPr>
                <w:rFonts w:hint="eastAsia" w:ascii="宋体" w:hAnsi="宋体" w:cs="宋体"/>
                <w:color w:val="000000" w:themeColor="text1"/>
                <w:szCs w:val="21"/>
                <w:u w:val="single"/>
                <w:lang w:val="en-US" w:eastAsia="zh-CN"/>
                <w14:textFill>
                  <w14:solidFill>
                    <w14:schemeClr w14:val="tx1"/>
                  </w14:solidFill>
                </w14:textFill>
              </w:rPr>
              <w:t>50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5B2375">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商务</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195" w:type="dxa"/>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715"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w:t>
            </w:r>
            <w:r>
              <w:rPr>
                <w:rFonts w:hint="eastAsia" w:ascii="宋体" w:hAnsi="宋体" w:cs="宋体"/>
                <w:color w:val="000000" w:themeColor="text1"/>
                <w:szCs w:val="21"/>
                <w:lang w:val="en-US" w:eastAsia="zh-CN"/>
                <w14:textFill>
                  <w14:solidFill>
                    <w14:schemeClr w14:val="tx1"/>
                  </w14:solidFill>
                </w14:textFill>
              </w:rPr>
              <w:t>且报价最低</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val="en-US" w:eastAsia="zh-CN"/>
                <w14:textFill>
                  <w14:solidFill>
                    <w14:schemeClr w14:val="tx1"/>
                  </w14:solidFill>
                </w14:textFill>
              </w:rPr>
              <w:t>{如出现响应报价低于全部通过符合性审查供应商报价平均值50%的，应启动异常低价审查程序，要求报价人提供书面证明证明其合理性}</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0分）</w:t>
            </w:r>
          </w:p>
        </w:tc>
        <w:tc>
          <w:tcPr>
            <w:tcW w:w="5157" w:type="dxa"/>
            <w:vAlign w:val="center"/>
          </w:tcPr>
          <w:p w14:paraId="0FE4FD8F">
            <w:pPr>
              <w:spacing w:before="120" w:after="120" w:line="360" w:lineRule="auto"/>
              <w:rPr>
                <w:rFonts w:hint="default" w:ascii="宋体" w:hAnsi="宋体" w:cs="宋体" w:eastAsiaTheme="minorEastAsia"/>
                <w:color w:val="FF0000"/>
                <w:szCs w:val="21"/>
                <w:lang w:val="en-US" w:eastAsia="zh-CN"/>
              </w:rPr>
            </w:pPr>
            <w:r>
              <w:rPr>
                <w:rFonts w:hint="eastAsia" w:ascii="宋体" w:hAnsi="宋体" w:cs="宋体"/>
                <w:color w:val="FF0000"/>
                <w:szCs w:val="21"/>
              </w:rPr>
              <w:t>报价得分=（</w:t>
            </w:r>
            <w:r>
              <w:rPr>
                <w:rFonts w:hint="eastAsia" w:ascii="宋体" w:hAnsi="宋体" w:cs="宋体"/>
                <w:color w:val="FF0000"/>
                <w:szCs w:val="21"/>
                <w:lang w:val="en-US" w:eastAsia="zh-CN"/>
              </w:rPr>
              <w:t>基准价</w:t>
            </w:r>
            <w:r>
              <w:rPr>
                <w:rFonts w:hint="eastAsia" w:ascii="宋体" w:hAnsi="宋体" w:cs="宋体"/>
                <w:color w:val="FF0000"/>
                <w:szCs w:val="21"/>
              </w:rPr>
              <w:t>/</w:t>
            </w:r>
            <w:r>
              <w:rPr>
                <w:rFonts w:hint="eastAsia" w:ascii="宋体" w:hAnsi="宋体" w:cs="宋体"/>
                <w:color w:val="FF0000"/>
                <w:szCs w:val="21"/>
                <w:lang w:val="en-US" w:eastAsia="zh-CN"/>
              </w:rPr>
              <w:t>报价</w:t>
            </w:r>
            <w:r>
              <w:rPr>
                <w:rFonts w:hint="eastAsia" w:ascii="宋体" w:hAnsi="宋体" w:cs="宋体"/>
                <w:color w:val="FF0000"/>
                <w:szCs w:val="21"/>
              </w:rPr>
              <w:t xml:space="preserve">）* </w:t>
            </w:r>
            <w:r>
              <w:rPr>
                <w:rFonts w:hint="eastAsia" w:ascii="宋体" w:hAnsi="宋体" w:cs="宋体"/>
                <w:color w:val="FF0000"/>
                <w:szCs w:val="21"/>
                <w:lang w:val="en-US" w:eastAsia="zh-CN"/>
              </w:rPr>
              <w:t>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95" w:type="dxa"/>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715"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分）</w:t>
            </w:r>
          </w:p>
        </w:tc>
        <w:tc>
          <w:tcPr>
            <w:tcW w:w="5157" w:type="dxa"/>
          </w:tcPr>
          <w:p w14:paraId="3F69F003">
            <w:pPr>
              <w:pStyle w:val="15"/>
              <w:numPr>
                <w:ilvl w:val="0"/>
                <w:numId w:val="8"/>
              </w:numP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eastAsiaTheme="minorEastAsia"/>
                <w:color w:val="000000" w:themeColor="text1"/>
                <w:szCs w:val="21"/>
                <w:lang w:val="en-US" w:eastAsia="zh-CN"/>
                <w14:textFill>
                  <w14:solidFill>
                    <w14:schemeClr w14:val="tx1"/>
                  </w14:solidFill>
                </w14:textFill>
              </w:rPr>
              <w:t>施工方案与技术措施（35）根据施工方案与技术措施与本项目的契合程度在0-35分范围内打分。；</w:t>
            </w:r>
          </w:p>
          <w:p w14:paraId="0F97D61B">
            <w:pPr>
              <w:pStyle w:val="15"/>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eastAsia="宋体" w:cs="宋体"/>
                <w:sz w:val="24"/>
              </w:rPr>
              <w:t>工程进度计划与措施</w:t>
            </w:r>
            <w:r>
              <w:rPr>
                <w:rFonts w:hint="eastAsia" w:ascii="宋体" w:hAnsi="宋体" w:cs="宋体" w:eastAsiaTheme="minorEastAsia"/>
                <w:color w:val="000000" w:themeColor="text1"/>
                <w:szCs w:val="21"/>
                <w:lang w:val="en-US" w:eastAsia="zh-CN"/>
                <w14:textFill>
                  <w14:solidFill>
                    <w14:schemeClr w14:val="tx1"/>
                  </w14:solidFill>
                </w14:textFill>
              </w:rPr>
              <w:t>（8分）</w:t>
            </w:r>
            <w:r>
              <w:rPr>
                <w:rFonts w:hint="eastAsia" w:ascii="宋体" w:hAnsi="宋体" w:eastAsia="宋体" w:cs="宋体"/>
                <w:sz w:val="24"/>
              </w:rPr>
              <w:t>供应商提供的工程进度计划与措施，</w:t>
            </w:r>
            <w:r>
              <w:rPr>
                <w:rFonts w:hint="eastAsia" w:ascii="宋体" w:hAnsi="宋体" w:eastAsia="宋体" w:cs="宋体"/>
                <w:sz w:val="24"/>
                <w:lang w:val="en-US" w:eastAsia="zh-CN"/>
              </w:rPr>
              <w:t>根据其</w:t>
            </w:r>
            <w:r>
              <w:rPr>
                <w:rFonts w:hint="eastAsia" w:ascii="宋体" w:hAnsi="宋体" w:eastAsia="宋体" w:cs="宋体"/>
                <w:sz w:val="24"/>
              </w:rPr>
              <w:t>内容完整</w:t>
            </w:r>
            <w:r>
              <w:rPr>
                <w:rFonts w:hint="eastAsia" w:ascii="宋体" w:hAnsi="宋体" w:eastAsia="宋体" w:cs="宋体"/>
                <w:sz w:val="24"/>
                <w:lang w:val="en-US" w:eastAsia="zh-CN"/>
              </w:rPr>
              <w:t>程度</w:t>
            </w:r>
            <w:r>
              <w:rPr>
                <w:rFonts w:hint="eastAsia" w:ascii="宋体" w:hAnsi="宋体" w:eastAsia="宋体" w:cs="宋体"/>
                <w:sz w:val="24"/>
              </w:rPr>
              <w:t>，安排科学</w:t>
            </w:r>
            <w:r>
              <w:rPr>
                <w:rFonts w:hint="eastAsia" w:ascii="宋体" w:hAnsi="宋体" w:eastAsia="宋体" w:cs="宋体"/>
                <w:sz w:val="24"/>
                <w:lang w:val="en-US" w:eastAsia="zh-CN"/>
              </w:rPr>
              <w:t>是否</w:t>
            </w:r>
            <w:r>
              <w:rPr>
                <w:rFonts w:hint="eastAsia" w:ascii="宋体" w:hAnsi="宋体" w:eastAsia="宋体" w:cs="宋体"/>
                <w:sz w:val="24"/>
              </w:rPr>
              <w:t>合理，针对性强</w:t>
            </w:r>
            <w:r>
              <w:rPr>
                <w:rFonts w:hint="eastAsia" w:ascii="宋体" w:hAnsi="宋体" w:eastAsia="宋体" w:cs="宋体"/>
                <w:sz w:val="24"/>
                <w:lang w:val="en-US" w:eastAsia="zh-CN"/>
              </w:rPr>
              <w:t>等在0-8分范围内打分</w:t>
            </w:r>
            <w:r>
              <w:rPr>
                <w:rFonts w:hint="eastAsia" w:ascii="宋体" w:hAnsi="宋体" w:cs="宋体" w:eastAsiaTheme="minorEastAsia"/>
                <w:color w:val="000000" w:themeColor="text1"/>
                <w:szCs w:val="21"/>
                <w:lang w:val="en-US" w:eastAsia="zh-CN"/>
                <w14:textFill>
                  <w14:solidFill>
                    <w14:schemeClr w14:val="tx1"/>
                  </w14:solidFill>
                </w14:textFill>
              </w:rPr>
              <w:t>；</w:t>
            </w:r>
          </w:p>
          <w:p w14:paraId="2EB2FAF3">
            <w:pPr>
              <w:pStyle w:val="15"/>
              <w:numPr>
                <w:ilvl w:val="0"/>
                <w:numId w:val="8"/>
              </w:numPr>
              <w:rPr>
                <w:rFonts w:hint="default" w:ascii="宋体" w:hAnsi="宋体" w:cs="宋体" w:eastAsiaTheme="minorEastAsia"/>
                <w:color w:val="000000" w:themeColor="text1"/>
                <w:szCs w:val="21"/>
                <w:lang w:val="en-US" w:eastAsia="zh-CN"/>
                <w14:textFill>
                  <w14:solidFill>
                    <w14:schemeClr w14:val="tx1"/>
                  </w14:solidFill>
                </w14:textFill>
              </w:rPr>
            </w:pPr>
            <w:bookmarkStart w:id="0" w:name="_Hlk196724706"/>
            <w:r>
              <w:rPr>
                <w:rFonts w:hint="eastAsia" w:ascii="宋体" w:hAnsi="宋体" w:eastAsia="宋体" w:cs="宋体"/>
                <w:sz w:val="24"/>
              </w:rPr>
              <w:t>紧急情况的处理措施、应急预案及风险预控</w:t>
            </w:r>
            <w:bookmarkEnd w:id="0"/>
            <w:r>
              <w:rPr>
                <w:rFonts w:hint="eastAsia" w:ascii="宋体" w:hAnsi="宋体" w:cs="宋体" w:eastAsiaTheme="minorEastAsia"/>
                <w:color w:val="000000" w:themeColor="text1"/>
                <w:szCs w:val="21"/>
                <w:lang w:val="en-US" w:eastAsia="zh-CN"/>
                <w14:textFill>
                  <w14:solidFill>
                    <w14:schemeClr w14:val="tx1"/>
                  </w14:solidFill>
                </w14:textFill>
              </w:rPr>
              <w:t>（7分）</w:t>
            </w:r>
            <w:r>
              <w:rPr>
                <w:rFonts w:hint="eastAsia" w:ascii="宋体" w:hAnsi="宋体" w:eastAsia="宋体" w:cs="宋体"/>
                <w:sz w:val="24"/>
              </w:rPr>
              <w:t>供应商提供的紧急情况的处理措施、应急预案及风险预控</w:t>
            </w:r>
            <w:r>
              <w:rPr>
                <w:rFonts w:hint="eastAsia" w:ascii="宋体" w:hAnsi="宋体" w:eastAsia="宋体" w:cs="宋体"/>
                <w:sz w:val="24"/>
                <w:lang w:eastAsia="zh-CN"/>
              </w:rPr>
              <w:t>，</w:t>
            </w:r>
            <w:r>
              <w:rPr>
                <w:rFonts w:hint="eastAsia" w:ascii="宋体" w:hAnsi="宋体" w:eastAsia="宋体" w:cs="宋体"/>
                <w:sz w:val="24"/>
                <w:lang w:val="en-US" w:eastAsia="zh-CN"/>
              </w:rPr>
              <w:t>根据其</w:t>
            </w:r>
            <w:r>
              <w:rPr>
                <w:rFonts w:hint="eastAsia" w:ascii="宋体" w:hAnsi="宋体" w:eastAsia="宋体" w:cs="宋体"/>
                <w:sz w:val="24"/>
              </w:rPr>
              <w:t>内容完整</w:t>
            </w:r>
            <w:r>
              <w:rPr>
                <w:rFonts w:hint="eastAsia" w:ascii="宋体" w:hAnsi="宋体" w:eastAsia="宋体" w:cs="宋体"/>
                <w:sz w:val="24"/>
                <w:lang w:val="en-US" w:eastAsia="zh-CN"/>
              </w:rPr>
              <w:t>程度</w:t>
            </w:r>
            <w:r>
              <w:rPr>
                <w:rFonts w:hint="eastAsia" w:ascii="宋体" w:hAnsi="宋体" w:eastAsia="宋体" w:cs="宋体"/>
                <w:sz w:val="24"/>
              </w:rPr>
              <w:t>，安排科学</w:t>
            </w:r>
            <w:r>
              <w:rPr>
                <w:rFonts w:hint="eastAsia" w:ascii="宋体" w:hAnsi="宋体" w:eastAsia="宋体" w:cs="宋体"/>
                <w:sz w:val="24"/>
                <w:lang w:val="en-US" w:eastAsia="zh-CN"/>
              </w:rPr>
              <w:t>是否</w:t>
            </w:r>
            <w:r>
              <w:rPr>
                <w:rFonts w:hint="eastAsia" w:ascii="宋体" w:hAnsi="宋体" w:eastAsia="宋体" w:cs="宋体"/>
                <w:sz w:val="24"/>
              </w:rPr>
              <w:t>合理，针对性强</w:t>
            </w:r>
            <w:r>
              <w:rPr>
                <w:rFonts w:hint="eastAsia" w:ascii="宋体" w:hAnsi="宋体" w:eastAsia="宋体" w:cs="宋体"/>
                <w:sz w:val="24"/>
                <w:lang w:val="en-US" w:eastAsia="zh-CN"/>
              </w:rPr>
              <w:t>等在0-</w:t>
            </w:r>
            <w:r>
              <w:rPr>
                <w:rFonts w:hint="eastAsia" w:ascii="宋体" w:hAnsi="宋体" w:cs="宋体"/>
                <w:sz w:val="24"/>
                <w:lang w:val="en-US" w:eastAsia="zh-CN"/>
              </w:rPr>
              <w:t>7</w:t>
            </w:r>
            <w:r>
              <w:rPr>
                <w:rFonts w:hint="eastAsia" w:ascii="宋体" w:hAnsi="宋体" w:eastAsia="宋体" w:cs="宋体"/>
                <w:sz w:val="24"/>
                <w:lang w:val="en-US" w:eastAsia="zh-CN"/>
              </w:rPr>
              <w:t>分范围内打分</w:t>
            </w:r>
            <w:r>
              <w:rPr>
                <w:rFonts w:hint="eastAsia" w:ascii="宋体" w:hAnsi="宋体" w:cs="宋体" w:eastAsiaTheme="minorEastAsia"/>
                <w:color w:val="000000" w:themeColor="text1"/>
                <w:szCs w:val="21"/>
                <w:lang w:val="en-US" w:eastAsia="zh-CN"/>
                <w14:textFill>
                  <w14:solidFill>
                    <w14:schemeClr w14:val="tx1"/>
                  </w14:solidFill>
                </w14:textFill>
              </w:rPr>
              <w:t>。</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95" w:type="dxa"/>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715"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商务部分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numPr>
                <w:ilvl w:val="0"/>
                <w:numId w:val="9"/>
              </w:numPr>
              <w:autoSpaceDE w:val="0"/>
              <w:autoSpaceDN w:val="0"/>
              <w:adjustRightInd w:val="0"/>
              <w:spacing w:before="120" w:after="120" w:line="360" w:lineRule="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企业业绩（8分）：</w:t>
            </w:r>
            <w:r>
              <w:rPr>
                <w:rFonts w:hint="eastAsia" w:ascii="宋体" w:hAnsi="宋体" w:cs="宋体"/>
                <w:color w:val="000000" w:themeColor="text1"/>
                <w:kern w:val="0"/>
                <w:szCs w:val="21"/>
                <w14:textFill>
                  <w14:solidFill>
                    <w14:schemeClr w14:val="tx1"/>
                  </w14:solidFill>
                </w14:textFill>
              </w:rPr>
              <w:t>投标人具有 2023 年 1 月 1 日</w:t>
            </w:r>
            <w:r>
              <w:rPr>
                <w:rFonts w:hint="eastAsia" w:ascii="宋体" w:hAnsi="宋体" w:eastAsia="宋体" w:cs="宋体"/>
                <w:sz w:val="24"/>
              </w:rPr>
              <w:t>完成过类似工程业绩</w:t>
            </w:r>
            <w:r>
              <w:rPr>
                <w:rFonts w:hint="eastAsia" w:ascii="宋体" w:hAnsi="宋体" w:eastAsia="宋体" w:cs="宋体"/>
                <w:sz w:val="24"/>
                <w:lang w:val="en-US" w:eastAsia="zh-CN"/>
              </w:rPr>
              <w:t>的</w:t>
            </w:r>
            <w:r>
              <w:rPr>
                <w:rFonts w:hint="eastAsia" w:ascii="宋体" w:hAnsi="宋体" w:cs="宋体"/>
                <w:color w:val="000000" w:themeColor="text1"/>
                <w:kern w:val="0"/>
                <w:szCs w:val="21"/>
                <w14:textFill>
                  <w14:solidFill>
                    <w14:schemeClr w14:val="tx1"/>
                  </w14:solidFill>
                </w14:textFill>
              </w:rPr>
              <w:t xml:space="preserve">，每提供一份业绩得2 分，最多得 </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w:t>
            </w:r>
          </w:p>
          <w:p w14:paraId="6F51BD10">
            <w:pPr>
              <w:pStyle w:val="15"/>
              <w:numPr>
                <w:ilvl w:val="0"/>
                <w:numId w:val="9"/>
              </w:numPr>
              <w:rPr>
                <w:rFonts w:hint="default"/>
                <w:lang w:val="en-US"/>
              </w:rPr>
            </w:pPr>
            <w:r>
              <w:rPr>
                <w:rFonts w:hint="eastAsia"/>
                <w:lang w:val="en-US" w:eastAsia="zh-CN"/>
              </w:rPr>
              <w:t>履职尽责承诺（6分）：</w:t>
            </w:r>
            <w:r>
              <w:rPr>
                <w:rFonts w:hint="eastAsia" w:ascii="宋体" w:hAnsi="宋体" w:eastAsia="宋体" w:cs="宋体"/>
                <w:sz w:val="24"/>
              </w:rPr>
              <w:t>具有全面、详实、可行、合法有效的保证技术措施，落实到位的承诺和落实不到位的处理承诺，其中包括各关键岗位人员（项目经理、技术负责人及相关技术人员、质量员、安全员、材料员等）的在岗、更换等履职尽责承诺，</w:t>
            </w:r>
            <w:r>
              <w:rPr>
                <w:rFonts w:hint="eastAsia" w:ascii="宋体" w:hAnsi="宋体" w:eastAsia="宋体" w:cs="宋体"/>
                <w:sz w:val="24"/>
                <w:lang w:val="en-US" w:eastAsia="zh-CN"/>
              </w:rPr>
              <w:t>根据其与项目的契合程度在0-6分范围内打分</w:t>
            </w:r>
            <w:r>
              <w:rPr>
                <w:rFonts w:hint="eastAsia"/>
                <w:lang w:val="en-US" w:eastAsia="zh-CN"/>
              </w:rPr>
              <w:t>；</w:t>
            </w:r>
          </w:p>
          <w:p w14:paraId="7C52130F">
            <w:pPr>
              <w:pStyle w:val="15"/>
              <w:numPr>
                <w:ilvl w:val="0"/>
                <w:numId w:val="9"/>
              </w:numPr>
              <w:rPr>
                <w:rFonts w:hint="default"/>
                <w:lang w:val="en-US"/>
              </w:rPr>
            </w:pPr>
            <w:r>
              <w:rPr>
                <w:rFonts w:hint="eastAsia"/>
                <w:lang w:val="en-US" w:eastAsia="zh-CN"/>
              </w:rPr>
              <w:t>优惠承诺</w:t>
            </w:r>
            <w:r>
              <w:rPr>
                <w:rFonts w:hint="default"/>
                <w:lang w:val="en-US"/>
              </w:rPr>
              <w:t>(</w:t>
            </w:r>
            <w:r>
              <w:rPr>
                <w:rFonts w:hint="eastAsia"/>
                <w:lang w:val="en-US" w:eastAsia="zh-CN"/>
              </w:rPr>
              <w:t>6</w:t>
            </w:r>
            <w:r>
              <w:rPr>
                <w:rFonts w:hint="default"/>
                <w:lang w:val="en-US"/>
              </w:rPr>
              <w:t>分)</w:t>
            </w:r>
            <w:r>
              <w:rPr>
                <w:rFonts w:hint="eastAsia"/>
                <w:lang w:val="en-US" w:eastAsia="zh-CN"/>
              </w:rPr>
              <w:t>：根据其优惠承诺在0-6分范围内打分。</w:t>
            </w:r>
          </w:p>
        </w:tc>
      </w:tr>
    </w:tbl>
    <w:p w14:paraId="2BCF4EB9">
      <w:pPr>
        <w:pStyle w:val="15"/>
      </w:pPr>
    </w:p>
    <w:p w14:paraId="4073EF44">
      <w:pPr>
        <w:pStyle w:val="15"/>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5"/>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5"/>
        <w:rPr>
          <w:rFonts w:hint="eastAsia" w:ascii="宋体" w:hAnsi="宋体"/>
          <w:b/>
          <w:color w:val="000000"/>
          <w:sz w:val="32"/>
          <w:szCs w:val="32"/>
        </w:rPr>
      </w:pPr>
    </w:p>
    <w:p w14:paraId="68701517">
      <w:pPr>
        <w:pStyle w:val="15"/>
        <w:rPr>
          <w:rFonts w:hint="eastAsia" w:ascii="宋体" w:hAnsi="宋体"/>
          <w:b/>
          <w:color w:val="000000"/>
          <w:sz w:val="32"/>
          <w:szCs w:val="32"/>
        </w:rPr>
      </w:pPr>
    </w:p>
    <w:p w14:paraId="5045E849">
      <w:pPr>
        <w:pStyle w:val="15"/>
        <w:rPr>
          <w:rFonts w:hint="eastAsia" w:ascii="宋体" w:hAnsi="宋体"/>
          <w:b/>
          <w:color w:val="000000"/>
          <w:sz w:val="32"/>
          <w:szCs w:val="32"/>
        </w:rPr>
      </w:pPr>
    </w:p>
    <w:p w14:paraId="750305DE">
      <w:pPr>
        <w:pStyle w:val="15"/>
        <w:rPr>
          <w:rFonts w:hint="eastAsia" w:ascii="宋体" w:hAnsi="宋体"/>
          <w:b/>
          <w:color w:val="000000"/>
          <w:sz w:val="32"/>
          <w:szCs w:val="32"/>
        </w:rPr>
      </w:pPr>
    </w:p>
    <w:p w14:paraId="47B29B5C">
      <w:pPr>
        <w:pStyle w:val="15"/>
        <w:rPr>
          <w:rFonts w:hint="eastAsia" w:ascii="宋体" w:hAnsi="宋体"/>
          <w:b/>
          <w:color w:val="000000"/>
          <w:sz w:val="32"/>
          <w:szCs w:val="32"/>
        </w:rPr>
      </w:pPr>
    </w:p>
    <w:p w14:paraId="33DEE400">
      <w:pPr>
        <w:pStyle w:val="15"/>
        <w:rPr>
          <w:rFonts w:hint="eastAsia" w:ascii="宋体" w:hAnsi="宋体"/>
          <w:b/>
          <w:color w:val="000000"/>
          <w:sz w:val="32"/>
          <w:szCs w:val="32"/>
        </w:rPr>
      </w:pPr>
    </w:p>
    <w:p w14:paraId="43F06FC7">
      <w:pPr>
        <w:pStyle w:val="15"/>
        <w:rPr>
          <w:rFonts w:hint="eastAsia" w:ascii="宋体" w:hAnsi="宋体"/>
          <w:b/>
          <w:color w:val="000000"/>
          <w:sz w:val="32"/>
          <w:szCs w:val="32"/>
        </w:rPr>
      </w:pPr>
    </w:p>
    <w:p w14:paraId="6E57D998">
      <w:pPr>
        <w:pStyle w:val="15"/>
        <w:rPr>
          <w:rFonts w:hint="eastAsia" w:ascii="宋体" w:hAnsi="宋体"/>
          <w:b/>
          <w:color w:val="000000"/>
          <w:sz w:val="32"/>
          <w:szCs w:val="32"/>
        </w:rPr>
      </w:pPr>
    </w:p>
    <w:p w14:paraId="0534AA52">
      <w:pPr>
        <w:pStyle w:val="15"/>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9"/>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格式自拟</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技术部份</w:t>
            </w:r>
          </w:p>
        </w:tc>
        <w:tc>
          <w:tcPr>
            <w:tcW w:w="5229" w:type="dxa"/>
            <w:tcBorders>
              <w:top w:val="single" w:color="auto" w:sz="4" w:space="0"/>
              <w:bottom w:val="single" w:color="auto" w:sz="4" w:space="0"/>
            </w:tcBorders>
            <w:vAlign w:val="center"/>
          </w:tcPr>
          <w:p w14:paraId="5C901EE3">
            <w:pPr>
              <w:jc w:val="center"/>
              <w:rPr>
                <w:rFonts w:hint="default" w:ascii="仿宋" w:hAnsi="仿宋" w:eastAsia="仿宋" w:cs="宋体"/>
                <w:b/>
                <w:bCs/>
                <w:color w:val="C00000"/>
                <w:kern w:val="0"/>
                <w:sz w:val="22"/>
                <w:szCs w:val="21"/>
                <w:lang w:val="en-US" w:eastAsia="zh-CN"/>
              </w:rPr>
            </w:pPr>
          </w:p>
        </w:tc>
      </w:tr>
      <w:tr w14:paraId="303B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F98EEDC">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75BB299C">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商务部份</w:t>
            </w:r>
          </w:p>
        </w:tc>
        <w:tc>
          <w:tcPr>
            <w:tcW w:w="5229" w:type="dxa"/>
            <w:tcBorders>
              <w:top w:val="single" w:color="auto" w:sz="4" w:space="0"/>
              <w:bottom w:val="single" w:color="auto" w:sz="4" w:space="0"/>
            </w:tcBorders>
            <w:vAlign w:val="center"/>
          </w:tcPr>
          <w:p w14:paraId="3CB715DB">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企业业绩、履职尽责承诺、服务承诺</w:t>
            </w: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5"/>
        <w:rPr>
          <w:rFonts w:ascii="仿宋_GB2312" w:eastAsia="仿宋_GB2312"/>
          <w:color w:val="000000"/>
          <w:sz w:val="28"/>
          <w:szCs w:val="28"/>
        </w:rPr>
      </w:pPr>
    </w:p>
    <w:p w14:paraId="53E89895">
      <w:pPr>
        <w:pStyle w:val="15"/>
        <w:rPr>
          <w:rFonts w:ascii="仿宋_GB2312" w:eastAsia="仿宋_GB2312"/>
          <w:color w:val="000000"/>
          <w:sz w:val="28"/>
          <w:szCs w:val="28"/>
        </w:rPr>
      </w:pPr>
    </w:p>
    <w:p w14:paraId="0E284860">
      <w:pPr>
        <w:pStyle w:val="15"/>
        <w:rPr>
          <w:rFonts w:ascii="仿宋_GB2312" w:eastAsia="仿宋_GB2312"/>
          <w:color w:val="000000"/>
          <w:sz w:val="28"/>
          <w:szCs w:val="28"/>
        </w:rPr>
      </w:pPr>
    </w:p>
    <w:p w14:paraId="0F55A925">
      <w:pPr>
        <w:pStyle w:val="15"/>
        <w:rPr>
          <w:rFonts w:ascii="仿宋_GB2312" w:eastAsia="仿宋_GB2312"/>
          <w:color w:val="000000"/>
          <w:sz w:val="28"/>
          <w:szCs w:val="28"/>
        </w:rPr>
      </w:pPr>
    </w:p>
    <w:p w14:paraId="48DE0CE2">
      <w:pPr>
        <w:pStyle w:val="15"/>
        <w:rPr>
          <w:rFonts w:ascii="仿宋_GB2312" w:eastAsia="仿宋_GB2312"/>
          <w:color w:val="000000"/>
          <w:sz w:val="28"/>
          <w:szCs w:val="28"/>
        </w:rPr>
      </w:pPr>
    </w:p>
    <w:p w14:paraId="3BEA3F04">
      <w:pPr>
        <w:pStyle w:val="15"/>
        <w:rPr>
          <w:rFonts w:ascii="仿宋_GB2312" w:eastAsia="仿宋_GB2312"/>
          <w:color w:val="000000"/>
          <w:sz w:val="28"/>
          <w:szCs w:val="28"/>
        </w:rPr>
      </w:pPr>
    </w:p>
    <w:p w14:paraId="700223B4">
      <w:pPr>
        <w:pStyle w:val="15"/>
        <w:rPr>
          <w:rFonts w:ascii="仿宋_GB2312" w:eastAsia="仿宋_GB2312"/>
          <w:color w:val="000000"/>
          <w:sz w:val="28"/>
          <w:szCs w:val="28"/>
        </w:rPr>
      </w:pPr>
    </w:p>
    <w:p w14:paraId="2CED07B4">
      <w:pPr>
        <w:pStyle w:val="15"/>
        <w:rPr>
          <w:rFonts w:ascii="仿宋_GB2312" w:eastAsia="仿宋_GB2312"/>
          <w:color w:val="000000"/>
          <w:sz w:val="28"/>
          <w:szCs w:val="28"/>
        </w:rPr>
      </w:pPr>
    </w:p>
    <w:p w14:paraId="0ED89294">
      <w:pPr>
        <w:pStyle w:val="15"/>
        <w:rPr>
          <w:rFonts w:ascii="仿宋_GB2312" w:eastAsia="仿宋_GB2312"/>
          <w:color w:val="000000"/>
          <w:sz w:val="28"/>
          <w:szCs w:val="28"/>
        </w:rPr>
      </w:pPr>
    </w:p>
    <w:p w14:paraId="7FB2CB1C">
      <w:pPr>
        <w:pStyle w:val="15"/>
        <w:rPr>
          <w:rFonts w:ascii="仿宋_GB2312" w:eastAsia="仿宋_GB2312"/>
          <w:color w:val="000000"/>
          <w:sz w:val="28"/>
          <w:szCs w:val="28"/>
        </w:rPr>
      </w:pPr>
    </w:p>
    <w:p w14:paraId="0A491A52">
      <w:pPr>
        <w:pStyle w:val="15"/>
        <w:rPr>
          <w:rFonts w:ascii="仿宋_GB2312" w:eastAsia="仿宋_GB2312"/>
          <w:color w:val="000000"/>
          <w:sz w:val="28"/>
          <w:szCs w:val="28"/>
        </w:rPr>
      </w:pPr>
    </w:p>
    <w:p w14:paraId="59C2B5FF">
      <w:pPr>
        <w:pStyle w:val="15"/>
        <w:rPr>
          <w:rFonts w:ascii="仿宋_GB2312" w:eastAsia="仿宋_GB2312"/>
          <w:color w:val="000000"/>
          <w:sz w:val="28"/>
          <w:szCs w:val="28"/>
        </w:rPr>
      </w:pPr>
    </w:p>
    <w:p w14:paraId="5F2852BA">
      <w:pPr>
        <w:pStyle w:val="15"/>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1" w:name="_Toc320878640"/>
      <w:bookmarkStart w:id="2" w:name="_Toc258360269"/>
      <w:bookmarkStart w:id="3" w:name="_Toc337554724"/>
      <w:bookmarkStart w:id="4" w:name="_Toc10762"/>
      <w:bookmarkStart w:id="5" w:name="_Toc15313"/>
      <w:bookmarkStart w:id="6" w:name="_Toc261708863"/>
      <w:bookmarkStart w:id="7" w:name="_Toc9548"/>
      <w:bookmarkStart w:id="8" w:name="_Toc258354146"/>
      <w:bookmarkStart w:id="9" w:name="_Toc258360158"/>
      <w:bookmarkStart w:id="10" w:name="_Toc258333636"/>
      <w:bookmarkStart w:id="11" w:name="_Toc304219257"/>
      <w:bookmarkStart w:id="12" w:name="_Toc337475854"/>
      <w:bookmarkStart w:id="13" w:name="_Toc248896063"/>
      <w:bookmarkStart w:id="14" w:name="_Toc219626747"/>
      <w:bookmarkStart w:id="15" w:name="_Toc17030"/>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5"/>
        <w:rPr>
          <w:rFonts w:hint="eastAsia" w:ascii="黑体" w:hAnsi="宋体" w:eastAsia="黑体" w:cs="宋体"/>
          <w:b/>
          <w:color w:val="000000"/>
          <w:sz w:val="32"/>
          <w:szCs w:val="32"/>
        </w:rPr>
      </w:pPr>
    </w:p>
    <w:p w14:paraId="3FBAAB68">
      <w:pPr>
        <w:pStyle w:val="15"/>
        <w:rPr>
          <w:rFonts w:hint="eastAsia" w:ascii="黑体" w:hAnsi="宋体" w:eastAsia="黑体" w:cs="宋体"/>
          <w:b/>
          <w:color w:val="000000"/>
          <w:sz w:val="32"/>
          <w:szCs w:val="32"/>
        </w:rPr>
      </w:pPr>
    </w:p>
    <w:p w14:paraId="407B74F8">
      <w:pPr>
        <w:pStyle w:val="15"/>
        <w:rPr>
          <w:rFonts w:hint="eastAsia" w:ascii="黑体" w:hAnsi="宋体" w:eastAsia="黑体" w:cs="宋体"/>
          <w:b/>
          <w:color w:val="000000"/>
          <w:sz w:val="32"/>
          <w:szCs w:val="32"/>
        </w:rPr>
      </w:pPr>
    </w:p>
    <w:p w14:paraId="570D0EA4">
      <w:pPr>
        <w:pStyle w:val="15"/>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5"/>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5"/>
        <w:rPr>
          <w:rFonts w:ascii="方正小标宋简体" w:eastAsia="方正小标宋简体"/>
          <w:color w:val="000000"/>
          <w:sz w:val="44"/>
          <w:szCs w:val="44"/>
        </w:rPr>
      </w:pPr>
    </w:p>
    <w:p w14:paraId="76C6FE79">
      <w:pPr>
        <w:pStyle w:val="15"/>
        <w:rPr>
          <w:rFonts w:ascii="方正小标宋简体" w:eastAsia="黑体"/>
          <w:color w:val="000000"/>
          <w:sz w:val="44"/>
          <w:szCs w:val="44"/>
        </w:rPr>
      </w:pPr>
      <w:r>
        <w:rPr>
          <w:rFonts w:hint="eastAsia" w:ascii="黑体" w:eastAsia="黑体"/>
          <w:color w:val="000000"/>
          <w:sz w:val="32"/>
          <w:szCs w:val="32"/>
        </w:rPr>
        <w:t>附件2</w:t>
      </w:r>
    </w:p>
    <w:p w14:paraId="7A0E3975">
      <w:pPr>
        <w:pStyle w:val="15"/>
        <w:jc w:val="center"/>
        <w:rPr>
          <w:rFonts w:ascii="黑体" w:eastAsia="黑体"/>
          <w:color w:val="000000"/>
          <w:sz w:val="32"/>
          <w:szCs w:val="32"/>
        </w:rPr>
      </w:pPr>
      <w:r>
        <w:rPr>
          <w:rFonts w:hint="eastAsia" w:ascii="黑体" w:eastAsia="黑体"/>
          <w:color w:val="000000"/>
          <w:sz w:val="32"/>
          <w:szCs w:val="32"/>
        </w:rPr>
        <w:t>报价表</w:t>
      </w:r>
    </w:p>
    <w:p w14:paraId="492EFBE0">
      <w:pPr>
        <w:pStyle w:val="15"/>
        <w:rPr>
          <w:rFonts w:ascii="黑体" w:eastAsia="黑体"/>
          <w:color w:val="000000"/>
          <w:sz w:val="32"/>
          <w:szCs w:val="32"/>
        </w:rPr>
      </w:pPr>
    </w:p>
    <w:p w14:paraId="2599CAE2">
      <w:pPr>
        <w:pStyle w:val="15"/>
        <w:rPr>
          <w:rFonts w:ascii="黑体" w:eastAsia="黑体"/>
          <w:color w:val="000000"/>
          <w:sz w:val="32"/>
          <w:szCs w:val="32"/>
        </w:rPr>
      </w:pPr>
    </w:p>
    <w:p w14:paraId="0B02726C">
      <w:pPr>
        <w:pStyle w:val="15"/>
        <w:rPr>
          <w:rFonts w:ascii="黑体" w:eastAsia="黑体"/>
          <w:color w:val="000000"/>
          <w:sz w:val="32"/>
          <w:szCs w:val="32"/>
        </w:rPr>
      </w:pPr>
    </w:p>
    <w:p w14:paraId="5F5BF10E">
      <w:pPr>
        <w:pStyle w:val="15"/>
        <w:rPr>
          <w:rFonts w:ascii="黑体" w:eastAsia="黑体"/>
          <w:color w:val="000000"/>
          <w:sz w:val="32"/>
          <w:szCs w:val="32"/>
        </w:rPr>
      </w:pPr>
    </w:p>
    <w:p w14:paraId="72DA934A">
      <w:pPr>
        <w:pStyle w:val="15"/>
        <w:rPr>
          <w:rFonts w:ascii="黑体" w:eastAsia="黑体"/>
          <w:color w:val="000000"/>
          <w:sz w:val="32"/>
          <w:szCs w:val="32"/>
        </w:rPr>
      </w:pPr>
    </w:p>
    <w:p w14:paraId="1EDFC026">
      <w:pPr>
        <w:pStyle w:val="15"/>
        <w:rPr>
          <w:rFonts w:ascii="黑体" w:eastAsia="黑体"/>
          <w:color w:val="000000"/>
          <w:sz w:val="32"/>
          <w:szCs w:val="32"/>
        </w:rPr>
      </w:pPr>
    </w:p>
    <w:p w14:paraId="3BAA7695">
      <w:pPr>
        <w:pStyle w:val="15"/>
        <w:rPr>
          <w:rFonts w:ascii="黑体" w:eastAsia="黑体"/>
          <w:color w:val="000000"/>
          <w:sz w:val="32"/>
          <w:szCs w:val="32"/>
        </w:rPr>
      </w:pPr>
    </w:p>
    <w:p w14:paraId="3263FB3B">
      <w:pPr>
        <w:pStyle w:val="15"/>
        <w:rPr>
          <w:rFonts w:ascii="黑体" w:eastAsia="黑体"/>
          <w:color w:val="000000"/>
          <w:sz w:val="32"/>
          <w:szCs w:val="32"/>
        </w:rPr>
      </w:pPr>
    </w:p>
    <w:p w14:paraId="0633BFCF">
      <w:pPr>
        <w:pStyle w:val="15"/>
        <w:rPr>
          <w:rFonts w:ascii="黑体" w:eastAsia="黑体"/>
          <w:color w:val="000000"/>
          <w:sz w:val="32"/>
          <w:szCs w:val="32"/>
        </w:rPr>
      </w:pPr>
    </w:p>
    <w:p w14:paraId="223C7D4C">
      <w:pPr>
        <w:pStyle w:val="15"/>
        <w:rPr>
          <w:rFonts w:ascii="黑体" w:eastAsia="黑体"/>
          <w:color w:val="000000"/>
          <w:sz w:val="32"/>
          <w:szCs w:val="32"/>
        </w:rPr>
      </w:pPr>
    </w:p>
    <w:p w14:paraId="33390337">
      <w:pPr>
        <w:pStyle w:val="15"/>
        <w:rPr>
          <w:rFonts w:ascii="黑体" w:eastAsia="黑体"/>
          <w:color w:val="000000"/>
          <w:sz w:val="32"/>
          <w:szCs w:val="32"/>
        </w:rPr>
      </w:pPr>
    </w:p>
    <w:p w14:paraId="2F4DF618">
      <w:pPr>
        <w:pStyle w:val="15"/>
        <w:rPr>
          <w:rFonts w:ascii="黑体" w:eastAsia="黑体"/>
          <w:color w:val="000000"/>
          <w:sz w:val="32"/>
          <w:szCs w:val="32"/>
        </w:rPr>
      </w:pPr>
    </w:p>
    <w:p w14:paraId="3EC4A3F2">
      <w:pPr>
        <w:pStyle w:val="15"/>
        <w:rPr>
          <w:rFonts w:ascii="黑体" w:eastAsia="黑体"/>
          <w:color w:val="000000"/>
          <w:sz w:val="32"/>
          <w:szCs w:val="32"/>
        </w:rPr>
      </w:pPr>
    </w:p>
    <w:p w14:paraId="110E46D7">
      <w:pPr>
        <w:pStyle w:val="15"/>
        <w:rPr>
          <w:rFonts w:ascii="黑体" w:eastAsia="黑体"/>
          <w:color w:val="000000"/>
          <w:sz w:val="32"/>
          <w:szCs w:val="32"/>
        </w:rPr>
      </w:pPr>
    </w:p>
    <w:p w14:paraId="7C0A21B9">
      <w:pPr>
        <w:pStyle w:val="15"/>
        <w:rPr>
          <w:rFonts w:ascii="黑体" w:eastAsia="黑体"/>
          <w:color w:val="000000"/>
          <w:sz w:val="32"/>
          <w:szCs w:val="32"/>
        </w:rPr>
      </w:pPr>
    </w:p>
    <w:p w14:paraId="71063EEF">
      <w:pPr>
        <w:pStyle w:val="15"/>
        <w:rPr>
          <w:rFonts w:ascii="黑体" w:eastAsia="黑体"/>
          <w:color w:val="000000"/>
          <w:sz w:val="32"/>
          <w:szCs w:val="32"/>
        </w:rPr>
      </w:pPr>
    </w:p>
    <w:p w14:paraId="597DE80A">
      <w:pPr>
        <w:pStyle w:val="15"/>
        <w:rPr>
          <w:rFonts w:ascii="黑体" w:eastAsia="黑体"/>
          <w:color w:val="000000"/>
          <w:sz w:val="32"/>
          <w:szCs w:val="32"/>
        </w:rPr>
      </w:pPr>
    </w:p>
    <w:p w14:paraId="3BB25E46">
      <w:pPr>
        <w:pStyle w:val="15"/>
        <w:rPr>
          <w:rFonts w:ascii="黑体" w:eastAsia="黑体"/>
          <w:color w:val="000000"/>
          <w:sz w:val="32"/>
          <w:szCs w:val="32"/>
        </w:rPr>
      </w:pPr>
    </w:p>
    <w:p w14:paraId="4CA8BD00">
      <w:pPr>
        <w:pStyle w:val="15"/>
        <w:rPr>
          <w:rFonts w:ascii="黑体" w:eastAsia="黑体"/>
          <w:color w:val="000000"/>
          <w:sz w:val="32"/>
          <w:szCs w:val="32"/>
        </w:rPr>
      </w:pPr>
    </w:p>
    <w:p w14:paraId="4F96BD4A">
      <w:pPr>
        <w:pStyle w:val="15"/>
        <w:rPr>
          <w:rFonts w:ascii="黑体" w:eastAsia="黑体"/>
          <w:color w:val="000000"/>
          <w:sz w:val="32"/>
          <w:szCs w:val="32"/>
        </w:rPr>
      </w:pPr>
    </w:p>
    <w:p w14:paraId="5049BE43">
      <w:pPr>
        <w:pStyle w:val="15"/>
        <w:rPr>
          <w:rFonts w:ascii="黑体" w:eastAsia="黑体"/>
          <w:color w:val="000000"/>
          <w:sz w:val="32"/>
          <w:szCs w:val="32"/>
        </w:rPr>
      </w:pPr>
    </w:p>
    <w:p w14:paraId="45908D0B">
      <w:pPr>
        <w:pStyle w:val="15"/>
        <w:rPr>
          <w:rFonts w:ascii="黑体" w:eastAsia="黑体"/>
          <w:color w:val="000000"/>
          <w:sz w:val="32"/>
          <w:szCs w:val="32"/>
        </w:rPr>
      </w:pPr>
    </w:p>
    <w:p w14:paraId="5E85ED53">
      <w:pPr>
        <w:pStyle w:val="15"/>
        <w:rPr>
          <w:rFonts w:ascii="黑体" w:eastAsia="黑体"/>
          <w:color w:val="000000"/>
          <w:sz w:val="32"/>
          <w:szCs w:val="32"/>
        </w:rPr>
      </w:pPr>
    </w:p>
    <w:p w14:paraId="0764610C">
      <w:pPr>
        <w:pStyle w:val="15"/>
        <w:rPr>
          <w:rFonts w:ascii="黑体" w:eastAsia="黑体"/>
          <w:color w:val="000000"/>
          <w:sz w:val="32"/>
          <w:szCs w:val="32"/>
        </w:rPr>
      </w:pPr>
    </w:p>
    <w:p w14:paraId="2252B45B">
      <w:pPr>
        <w:pStyle w:val="15"/>
        <w:rPr>
          <w:rFonts w:ascii="黑体" w:eastAsia="黑体"/>
          <w:color w:val="000000"/>
          <w:sz w:val="32"/>
          <w:szCs w:val="32"/>
        </w:rPr>
      </w:pPr>
    </w:p>
    <w:p w14:paraId="224E1CC0">
      <w:pPr>
        <w:pStyle w:val="15"/>
        <w:rPr>
          <w:rFonts w:ascii="黑体" w:eastAsia="黑体"/>
          <w:color w:val="000000"/>
          <w:sz w:val="32"/>
          <w:szCs w:val="32"/>
        </w:rPr>
      </w:pPr>
    </w:p>
    <w:p w14:paraId="1057C2D8">
      <w:pPr>
        <w:pStyle w:val="15"/>
        <w:rPr>
          <w:rFonts w:ascii="黑体" w:eastAsia="黑体"/>
          <w:color w:val="000000"/>
          <w:sz w:val="32"/>
          <w:szCs w:val="32"/>
        </w:rPr>
      </w:pPr>
    </w:p>
    <w:p w14:paraId="32E61968">
      <w:pPr>
        <w:pStyle w:val="15"/>
        <w:rPr>
          <w:rFonts w:ascii="黑体" w:eastAsia="黑体"/>
          <w:color w:val="000000"/>
          <w:sz w:val="32"/>
          <w:szCs w:val="32"/>
        </w:rPr>
      </w:pPr>
    </w:p>
    <w:p w14:paraId="2BD4CD48">
      <w:pPr>
        <w:pStyle w:val="15"/>
        <w:rPr>
          <w:rFonts w:ascii="黑体" w:eastAsia="黑体"/>
          <w:color w:val="000000"/>
          <w:sz w:val="32"/>
          <w:szCs w:val="32"/>
        </w:rPr>
      </w:pPr>
    </w:p>
    <w:p w14:paraId="0BDC105F">
      <w:pPr>
        <w:pStyle w:val="15"/>
        <w:rPr>
          <w:rFonts w:ascii="黑体" w:eastAsia="黑体"/>
          <w:color w:val="000000"/>
          <w:sz w:val="32"/>
          <w:szCs w:val="32"/>
        </w:rPr>
      </w:pPr>
    </w:p>
    <w:p w14:paraId="4AB9CF14">
      <w:pPr>
        <w:pStyle w:val="15"/>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5"/>
        <w:rPr>
          <w:rFonts w:ascii="黑体" w:eastAsia="黑体"/>
          <w:color w:val="000000"/>
          <w:sz w:val="32"/>
          <w:szCs w:val="32"/>
        </w:rPr>
      </w:pPr>
    </w:p>
    <w:p w14:paraId="1FC6E2FA">
      <w:pPr>
        <w:pStyle w:val="15"/>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5"/>
      </w:pPr>
    </w:p>
    <w:p w14:paraId="6DB6DA74">
      <w:pPr>
        <w:pStyle w:val="15"/>
      </w:pPr>
    </w:p>
    <w:p w14:paraId="272D2A7D">
      <w:pPr>
        <w:pStyle w:val="15"/>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6"/>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6"/>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7"/>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32D583F"/>
    <w:multiLevelType w:val="singleLevel"/>
    <w:tmpl w:val="F32D583F"/>
    <w:lvl w:ilvl="0" w:tentative="0">
      <w:start w:val="1"/>
      <w:numFmt w:val="decimal"/>
      <w:lvlText w:val="%1."/>
      <w:lvlJc w:val="left"/>
      <w:pPr>
        <w:tabs>
          <w:tab w:val="left" w:pos="312"/>
        </w:tabs>
      </w:pPr>
    </w:lvl>
  </w:abstractNum>
  <w:abstractNum w:abstractNumId="5">
    <w:nsid w:val="F5F59E80"/>
    <w:multiLevelType w:val="singleLevel"/>
    <w:tmpl w:val="F5F59E80"/>
    <w:lvl w:ilvl="0" w:tentative="0">
      <w:start w:val="1"/>
      <w:numFmt w:val="decimal"/>
      <w:suff w:val="space"/>
      <w:lvlText w:val="%1."/>
      <w:lvlJc w:val="left"/>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436A2361"/>
    <w:multiLevelType w:val="singleLevel"/>
    <w:tmpl w:val="436A2361"/>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8"/>
  </w:num>
  <w:num w:numId="3">
    <w:abstractNumId w:val="3"/>
  </w:num>
  <w:num w:numId="4">
    <w:abstractNumId w:val="2"/>
  </w:num>
  <w:num w:numId="5">
    <w:abstractNumId w:val="0"/>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2C73045"/>
    <w:rsid w:val="03C05FE9"/>
    <w:rsid w:val="041C0681"/>
    <w:rsid w:val="045C4934"/>
    <w:rsid w:val="06AB0CBE"/>
    <w:rsid w:val="07115D57"/>
    <w:rsid w:val="07480850"/>
    <w:rsid w:val="07A779E9"/>
    <w:rsid w:val="0831446C"/>
    <w:rsid w:val="084232F2"/>
    <w:rsid w:val="08492771"/>
    <w:rsid w:val="08B25A56"/>
    <w:rsid w:val="091E4C98"/>
    <w:rsid w:val="09891DDE"/>
    <w:rsid w:val="09984B6B"/>
    <w:rsid w:val="09E9128C"/>
    <w:rsid w:val="0A1C52E7"/>
    <w:rsid w:val="0A321C94"/>
    <w:rsid w:val="0A6B018D"/>
    <w:rsid w:val="0ABF28A5"/>
    <w:rsid w:val="0B9D1095"/>
    <w:rsid w:val="0BD8254C"/>
    <w:rsid w:val="0BE14569"/>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143D3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B9F58D3"/>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EC37CC8"/>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77A2FE3"/>
    <w:rsid w:val="5AD50E25"/>
    <w:rsid w:val="5B736C6D"/>
    <w:rsid w:val="5C0B1608"/>
    <w:rsid w:val="5CEA2A63"/>
    <w:rsid w:val="5D327E39"/>
    <w:rsid w:val="5D4D3632"/>
    <w:rsid w:val="5D4E0C6B"/>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qFormat/>
    <w:uiPriority w:val="0"/>
    <w:pPr>
      <w:jc w:val="left"/>
    </w:pPr>
  </w:style>
  <w:style w:type="paragraph" w:styleId="5">
    <w:name w:val="Body Text"/>
    <w:basedOn w:val="1"/>
    <w:autoRedefine/>
    <w:qFormat/>
    <w:uiPriority w:val="1"/>
    <w:pPr>
      <w:ind w:left="137"/>
    </w:pPr>
    <w:rPr>
      <w:rFonts w:ascii="宋体" w:hAnsi="宋体" w:eastAsia="宋体"/>
      <w:sz w:val="24"/>
      <w:lang w:eastAsia="en-US"/>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line="432" w:lineRule="auto"/>
      <w:jc w:val="left"/>
    </w:pPr>
    <w:rPr>
      <w:rFonts w:cs="Times New Roman"/>
      <w:kern w:val="0"/>
      <w:sz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无间隔1"/>
    <w:basedOn w:val="1"/>
    <w:autoRedefine/>
    <w:qFormat/>
    <w:uiPriority w:val="1"/>
    <w:pPr>
      <w:spacing w:line="400" w:lineRule="exact"/>
    </w:pPr>
    <w:rPr>
      <w:rFonts w:eastAsia="宋体"/>
      <w:sz w:val="24"/>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1"/>
    <w:link w:val="6"/>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1"/>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1"/>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1"/>
    <w:qFormat/>
    <w:uiPriority w:val="0"/>
    <w:rPr>
      <w:rFonts w:hint="eastAsia" w:ascii="宋体" w:hAnsi="宋体" w:eastAsia="宋体" w:cs="宋体"/>
      <w:color w:val="000000"/>
      <w:sz w:val="22"/>
      <w:szCs w:val="22"/>
      <w:u w:val="none"/>
    </w:rPr>
  </w:style>
  <w:style w:type="character" w:customStyle="1" w:styleId="24">
    <w:name w:val="font41"/>
    <w:basedOn w:val="11"/>
    <w:qFormat/>
    <w:uiPriority w:val="0"/>
    <w:rPr>
      <w:rFonts w:hint="eastAsia" w:ascii="宋体" w:hAnsi="宋体" w:eastAsia="宋体" w:cs="宋体"/>
      <w:color w:val="000000"/>
      <w:sz w:val="22"/>
      <w:szCs w:val="22"/>
      <w:u w:val="none"/>
      <w:vertAlign w:val="superscript"/>
    </w:rPr>
  </w:style>
  <w:style w:type="character" w:customStyle="1" w:styleId="25">
    <w:name w:val="font91"/>
    <w:basedOn w:val="11"/>
    <w:qFormat/>
    <w:uiPriority w:val="0"/>
    <w:rPr>
      <w:rFonts w:hint="default" w:ascii="Times New Roman" w:hAnsi="Times New Roman" w:cs="Times New Roman"/>
      <w:color w:val="000000"/>
      <w:sz w:val="20"/>
      <w:szCs w:val="20"/>
      <w:u w:val="none"/>
    </w:rPr>
  </w:style>
  <w:style w:type="character" w:customStyle="1" w:styleId="26">
    <w:name w:val="font51"/>
    <w:basedOn w:val="11"/>
    <w:qFormat/>
    <w:uiPriority w:val="0"/>
    <w:rPr>
      <w:rFonts w:hint="default" w:ascii="Times New Roman" w:hAnsi="Times New Roman" w:cs="Times New Roman"/>
      <w:color w:val="000000"/>
      <w:sz w:val="20"/>
      <w:szCs w:val="20"/>
      <w:u w:val="none"/>
    </w:rPr>
  </w:style>
  <w:style w:type="character" w:customStyle="1" w:styleId="27">
    <w:name w:val="font8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2489</Words>
  <Characters>2657</Characters>
  <Lines>826</Lines>
  <Paragraphs>946</Paragraphs>
  <TotalTime>3</TotalTime>
  <ScaleCrop>false</ScaleCrop>
  <LinksUpToDate>false</LinksUpToDate>
  <CharactersWithSpaces>2754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2026-05-26T07:31:04Z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