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能源审计服务采购项目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17"/>
      </w:pPr>
    </w:p>
    <w:p w14:paraId="59538D8A">
      <w:pPr>
        <w:pStyle w:val="17"/>
      </w:pPr>
    </w:p>
    <w:p w14:paraId="51ED7FD4">
      <w:pPr>
        <w:pStyle w:val="17"/>
      </w:pPr>
    </w:p>
    <w:p w14:paraId="1FEF1A0D">
      <w:pPr>
        <w:jc w:val="center"/>
        <w:rPr>
          <w:rFonts w:hint="eastAsia" w:ascii="黑体" w:hAnsi="黑体" w:eastAsia="黑体" w:cs="黑体"/>
          <w:sz w:val="52"/>
          <w:szCs w:val="52"/>
        </w:rPr>
      </w:pPr>
    </w:p>
    <w:p w14:paraId="7691CDD7">
      <w:pPr>
        <w:pStyle w:val="17"/>
        <w:rPr>
          <w:rFonts w:hint="eastAsia" w:ascii="黑体" w:hAnsi="黑体" w:eastAsia="黑体" w:cs="黑体"/>
          <w:sz w:val="52"/>
          <w:szCs w:val="52"/>
        </w:rPr>
      </w:pPr>
    </w:p>
    <w:p w14:paraId="4D50738A">
      <w:pPr>
        <w:pStyle w:val="17"/>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17"/>
        <w:rPr>
          <w:rFonts w:hint="eastAsia" w:ascii="黑体" w:hAnsi="黑体" w:eastAsia="黑体" w:cs="黑体"/>
          <w:sz w:val="52"/>
          <w:szCs w:val="52"/>
        </w:rPr>
      </w:pPr>
    </w:p>
    <w:p w14:paraId="71F39C86">
      <w:pPr>
        <w:pStyle w:val="17"/>
        <w:rPr>
          <w:rFonts w:hint="eastAsia" w:ascii="黑体" w:hAnsi="黑体" w:eastAsia="黑体" w:cs="黑体"/>
          <w:sz w:val="52"/>
          <w:szCs w:val="52"/>
        </w:rPr>
      </w:pPr>
    </w:p>
    <w:p w14:paraId="069FCE74">
      <w:pPr>
        <w:pStyle w:val="17"/>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12</w:t>
      </w:r>
      <w:r>
        <w:rPr>
          <w:rFonts w:hint="eastAsia" w:ascii="黑体" w:hAnsi="黑体" w:eastAsia="黑体" w:cs="黑体"/>
          <w:sz w:val="44"/>
          <w:szCs w:val="44"/>
        </w:rPr>
        <w:t>月</w:t>
      </w:r>
      <w:r>
        <w:rPr>
          <w:rFonts w:hint="eastAsia" w:ascii="黑体" w:hAnsi="黑体" w:eastAsia="黑体" w:cs="黑体"/>
          <w:sz w:val="44"/>
          <w:szCs w:val="44"/>
          <w:lang w:val="en-US" w:eastAsia="zh-CN"/>
        </w:rPr>
        <w:t>9</w:t>
      </w:r>
      <w:r>
        <w:rPr>
          <w:rFonts w:hint="eastAsia" w:ascii="黑体" w:hAnsi="黑体" w:eastAsia="黑体" w:cs="黑体"/>
          <w:sz w:val="44"/>
          <w:szCs w:val="44"/>
        </w:rPr>
        <w:t>日</w:t>
      </w:r>
    </w:p>
    <w:p w14:paraId="61C63DE4">
      <w:pPr>
        <w:pStyle w:val="17"/>
      </w:pPr>
    </w:p>
    <w:p w14:paraId="7E149AC4">
      <w:pPr>
        <w:pStyle w:val="17"/>
        <w:rPr>
          <w:rFonts w:hint="eastAsia" w:ascii="黑体" w:hAnsi="黑体" w:eastAsia="黑体" w:cs="黑体"/>
          <w:sz w:val="32"/>
          <w:szCs w:val="32"/>
        </w:rPr>
      </w:pPr>
    </w:p>
    <w:p w14:paraId="362CF452">
      <w:pPr>
        <w:pStyle w:val="17"/>
        <w:rPr>
          <w:rFonts w:hint="eastAsia" w:ascii="黑体" w:hAnsi="黑体" w:eastAsia="黑体" w:cs="黑体"/>
          <w:sz w:val="32"/>
          <w:szCs w:val="32"/>
        </w:rPr>
      </w:pPr>
    </w:p>
    <w:p w14:paraId="556FC650">
      <w:pPr>
        <w:pStyle w:val="17"/>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17"/>
        <w:rPr>
          <w:rFonts w:hint="eastAsia" w:ascii="黑体" w:hAnsi="黑体" w:eastAsia="黑体" w:cs="黑体"/>
          <w:sz w:val="32"/>
          <w:szCs w:val="32"/>
        </w:rPr>
      </w:pPr>
    </w:p>
    <w:p w14:paraId="38F741E9">
      <w:pPr>
        <w:pStyle w:val="17"/>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17"/>
      </w:pPr>
    </w:p>
    <w:p w14:paraId="2E998B39">
      <w:pPr>
        <w:rPr>
          <w:rFonts w:hint="eastAsia" w:ascii="黑体" w:hAnsi="黑体" w:eastAsia="黑体" w:cs="黑体"/>
          <w:sz w:val="32"/>
          <w:szCs w:val="32"/>
        </w:rPr>
      </w:pPr>
    </w:p>
    <w:p w14:paraId="31507164">
      <w:pPr>
        <w:pStyle w:val="17"/>
        <w:rPr>
          <w:rFonts w:hint="eastAsia" w:ascii="黑体" w:hAnsi="黑体" w:eastAsia="黑体" w:cs="黑体"/>
          <w:sz w:val="32"/>
          <w:szCs w:val="32"/>
        </w:rPr>
      </w:pPr>
    </w:p>
    <w:p w14:paraId="674ADDD4">
      <w:pPr>
        <w:pStyle w:val="17"/>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155C1D6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能源审计服务采购项目</w:t>
      </w:r>
      <w:r>
        <w:rPr>
          <w:rFonts w:hint="eastAsia" w:ascii="仿宋_GB2312" w:eastAsia="仿宋_GB2312"/>
          <w:sz w:val="32"/>
          <w:szCs w:val="32"/>
        </w:rPr>
        <w:t>，具体事宜公布如下：</w:t>
      </w:r>
    </w:p>
    <w:p w14:paraId="2AB54565">
      <w:pPr>
        <w:spacing w:line="578" w:lineRule="exact"/>
        <w:ind w:firstLine="640" w:firstLineChars="200"/>
        <w:rPr>
          <w:rFonts w:ascii="黑体" w:eastAsia="黑体"/>
          <w:sz w:val="32"/>
          <w:szCs w:val="32"/>
        </w:rPr>
      </w:pPr>
      <w:r>
        <w:rPr>
          <w:rFonts w:hint="eastAsia" w:ascii="黑体" w:eastAsia="黑体"/>
          <w:sz w:val="32"/>
          <w:szCs w:val="32"/>
        </w:rPr>
        <w:t>一、项目名称</w:t>
      </w:r>
    </w:p>
    <w:p w14:paraId="13901822">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能源审计服务采购项目</w:t>
      </w:r>
      <w:r>
        <w:rPr>
          <w:rFonts w:hint="eastAsia" w:ascii="仿宋_GB2312" w:eastAsia="仿宋_GB2312"/>
          <w:sz w:val="32"/>
          <w:szCs w:val="32"/>
        </w:rPr>
        <w:t>。</w:t>
      </w:r>
    </w:p>
    <w:p w14:paraId="5D4762E9">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5C05AE11">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1.服务目标：依据《公共机构能源审计技术导则》（GB/T31342—2014）、《能源审计技术通则》（GB/T 17166—2019）、《合同能源管理技术通则》（GB/T 2491—2020）等相关规范要求，对新郑市公立人民医院开展能源审计，并编制《能源审计报告》,报告项目符合甲方要求，足以支撑能源托管科学决策。</w:t>
      </w:r>
    </w:p>
    <w:p w14:paraId="60F3AE85">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2.服务内容及范围：</w:t>
      </w:r>
    </w:p>
    <w:p w14:paraId="7F7B172E">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2.1能源审计需要包含近4年的能源分析以及对医院未来12年能源消耗量进行预测；</w:t>
      </w:r>
    </w:p>
    <w:p w14:paraId="30352B02">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2.2能源管理状况，节能目标和实施方案的制定落实情况，节能管理规章制度建设情况；</w:t>
      </w:r>
    </w:p>
    <w:p w14:paraId="02BFC9C4">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2.3用能概况、能源流向分析及能源消耗结构；</w:t>
      </w:r>
    </w:p>
    <w:p w14:paraId="12AC161C">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2.4主要产品能源消耗指标、主要问题及节能潜力分析审计结论与建议；</w:t>
      </w:r>
    </w:p>
    <w:p w14:paraId="6ED8E299">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2.5能源计量及统计状况，能源消耗计量、检测和统计情况；</w:t>
      </w:r>
    </w:p>
    <w:p w14:paraId="117A01CB">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2.6能源消费指标计算分析，根据国家定额进行对标分析；</w:t>
      </w:r>
    </w:p>
    <w:p w14:paraId="10A3861E">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2.7设备运行效率计算分析，国家规定淘汰落后设备与节能产品设备使用情况；</w:t>
      </w:r>
    </w:p>
    <w:p w14:paraId="6C5CD74E">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2.8综合能源成本与能源利用效果评价；</w:t>
      </w:r>
    </w:p>
    <w:p w14:paraId="40BCC432">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2.9能源成本指标计算分析，能源实际消耗量和国家标准对比分析；</w:t>
      </w:r>
    </w:p>
    <w:p w14:paraId="24BF8B8E">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2.10节能技改项目及节能量计算；</w:t>
      </w:r>
    </w:p>
    <w:p w14:paraId="635994CF">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2.11提供能源托管建议基准，提供能源管理技术方案；</w:t>
      </w:r>
    </w:p>
    <w:p w14:paraId="7EAEBB50">
      <w:pPr>
        <w:pStyle w:val="9"/>
        <w:spacing w:line="480" w:lineRule="auto"/>
        <w:ind w:firstLine="473"/>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2.12供应商编写的能源审计报告需包含计算用能单位的综合能耗、人均能耗和单位建筑面积能耗，评估用能档次，将用能单位能耗使用情况进行对标分析等详细分析。</w:t>
      </w:r>
    </w:p>
    <w:p w14:paraId="1054DE68">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3.服务方案及服务工作要求：</w:t>
      </w:r>
    </w:p>
    <w:p w14:paraId="22E4F674">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3.1能源审计报告内容及格式需符合《公共机构能源审计技术导则》（GB/T31342）的要求；</w:t>
      </w:r>
    </w:p>
    <w:p w14:paraId="44CF7C3C">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3.2摸清医院能耗底数：包括医院基本信息、用能基本情况，能源消耗数据、能源计量器具配备、使用、定期检定情况，建筑、设施设备的节能标准符合情况、用能系统、设备的运行状况、节能管理制度制定、执行情况等；</w:t>
      </w:r>
    </w:p>
    <w:p w14:paraId="66DDD732">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3.3开展能耗情况分析：从建筑物室内热环境状况、围护结构的热工性能、通风空调系统、供暖锅炉系统、医疗设备系统、供配电与照明系统及监测与控制系统运行调节情况方面进行能耗情况进行分析；</w:t>
      </w:r>
    </w:p>
    <w:p w14:paraId="67958B5A">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3.4组织现场作业：制定现场作业计划，开展现场调查，组织现场测试；</w:t>
      </w:r>
    </w:p>
    <w:p w14:paraId="6F0FF500">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3.5分析用能数据</w:t>
      </w:r>
    </w:p>
    <w:p w14:paraId="52370420">
      <w:pPr>
        <w:pStyle w:val="9"/>
        <w:spacing w:line="480" w:lineRule="auto"/>
        <w:ind w:firstLine="960" w:firstLineChars="3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3.5.1.完善数据、能量平衡分析、综合分析、用能系统分析、管理状况分析、计量统计状况分析、效果潜力分析；</w:t>
      </w:r>
    </w:p>
    <w:p w14:paraId="23A614AC">
      <w:pPr>
        <w:pStyle w:val="9"/>
        <w:spacing w:line="480" w:lineRule="auto"/>
        <w:ind w:firstLine="960" w:firstLineChars="3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3.5.2.核算审核用能成本：计算产品能源成本和单位产量能源成本，根据公共机构消耗的能源种类计算建筑能耗指标（面积均能耗指标和人均能耗指标）；分项进行能源消耗现状评价；</w:t>
      </w:r>
    </w:p>
    <w:p w14:paraId="3573C42E">
      <w:pPr>
        <w:pStyle w:val="9"/>
        <w:spacing w:line="480" w:lineRule="auto"/>
        <w:ind w:firstLine="960" w:firstLineChars="3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3.5.3.对公共机构基准期至审计期内完成的节能技改项目进行汇总分析，核算节能技改项目已取得的效果（节能量、减排指标）；</w:t>
      </w:r>
    </w:p>
    <w:p w14:paraId="3539ED4E">
      <w:pPr>
        <w:pStyle w:val="9"/>
        <w:spacing w:line="480" w:lineRule="auto"/>
        <w:ind w:firstLine="960" w:firstLineChars="3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3.5.4.通过对机构能源统计数据的分析、结合现场节能诊断，对机构的用热、用电等系统进行全面的用能合法性和合理性分析；对主要供、用能系统进行系统性分析；对重点节点开展分析；查清有否淘汰设备；对产品能耗水平进行评估；总的整改措施可能取得的节能量应能保障机构完成节能目标。</w:t>
      </w:r>
    </w:p>
    <w:p w14:paraId="0A51A5F3">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3.6能耗预测：通过对历史能耗数据进行建模和分析，预测未来的能耗需求和趋势。</w:t>
      </w:r>
    </w:p>
    <w:p w14:paraId="7958223B">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3.7编制能源审计报告：通过能源审计，根据公共机构实际情况，确定比较基准，计算节能量和节能率，找出存在的问题，提出合理的节能改造建议方案，形成能源审计报告。</w:t>
      </w:r>
    </w:p>
    <w:p w14:paraId="45263229">
      <w:pPr>
        <w:pStyle w:val="9"/>
        <w:spacing w:line="480" w:lineRule="auto"/>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3.8对收集的基本信息和数据应进行审查，报告应列出建筑基本信息表、能源资源费用清单、主要设备清单、主要管理制度、主要设备运行记录等支持性文件。</w:t>
      </w:r>
    </w:p>
    <w:p w14:paraId="385FAD55">
      <w:pPr>
        <w:pStyle w:val="9"/>
        <w:numPr>
          <w:ilvl w:val="0"/>
          <w:numId w:val="5"/>
        </w:numPr>
        <w:spacing w:line="480" w:lineRule="auto"/>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项目完成时间：合同签定两周内向院方提供能源审计报告</w:t>
      </w:r>
      <w:r>
        <w:rPr>
          <w:rFonts w:hint="eastAsia" w:ascii="仿宋_GB2312" w:eastAsia="仿宋_GB2312" w:cstheme="minorBidi"/>
          <w:kern w:val="2"/>
          <w:sz w:val="32"/>
          <w:szCs w:val="32"/>
          <w:lang w:val="en-US" w:eastAsia="zh-CN" w:bidi="ar-SA"/>
        </w:rPr>
        <w:t>。</w:t>
      </w:r>
    </w:p>
    <w:p w14:paraId="3EB75549">
      <w:pPr>
        <w:pStyle w:val="9"/>
        <w:numPr>
          <w:ilvl w:val="0"/>
          <w:numId w:val="5"/>
        </w:numPr>
        <w:spacing w:line="480" w:lineRule="auto"/>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项目预算：46000元</w:t>
      </w:r>
      <w:bookmarkStart w:id="15" w:name="_GoBack"/>
      <w:bookmarkEnd w:id="15"/>
    </w:p>
    <w:p w14:paraId="64E2F65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黑体" w:eastAsia="黑体"/>
          <w:sz w:val="32"/>
          <w:szCs w:val="32"/>
        </w:rPr>
        <w:t>供应商资格要求</w:t>
      </w:r>
    </w:p>
    <w:p w14:paraId="4E6E9510">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69FF4C19">
      <w:pPr>
        <w:pStyle w:val="10"/>
        <w:keepNext w:val="0"/>
        <w:keepLines w:val="0"/>
        <w:pageBreakBefore w:val="0"/>
        <w:widowControl/>
        <w:kinsoku/>
        <w:wordWrap/>
        <w:overflowPunct/>
        <w:topLinePunct w:val="0"/>
        <w:autoSpaceDE/>
        <w:autoSpaceDN/>
        <w:bidi w:val="0"/>
        <w:adjustRightInd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18E4E888">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0978D82">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0F359FD4">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4CDC023">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【工作日8:00-12:00,14:00-17:00（北京时间）】</w:t>
      </w:r>
    </w:p>
    <w:p w14:paraId="62381BF4">
      <w:pPr>
        <w:keepNext w:val="0"/>
        <w:keepLines w:val="0"/>
        <w:pageBreakBefore w:val="0"/>
        <w:numPr>
          <w:ilvl w:val="0"/>
          <w:numId w:val="6"/>
        </w:numPr>
        <w:kinsoku/>
        <w:wordWrap/>
        <w:overflowPunct/>
        <w:topLinePunct w:val="0"/>
        <w:autoSpaceDE/>
        <w:autoSpaceDN/>
        <w:bidi w:val="0"/>
        <w:snapToGrid/>
        <w:spacing w:line="578" w:lineRule="exact"/>
        <w:ind w:firstLine="640"/>
        <w:textAlignment w:val="auto"/>
        <w:rPr>
          <w:rFonts w:ascii="仿宋_GB2312" w:eastAsia="仿宋_GB2312"/>
          <w:sz w:val="32"/>
          <w:szCs w:val="32"/>
        </w:rPr>
      </w:pPr>
      <w:r>
        <w:rPr>
          <w:rFonts w:hint="eastAsia" w:ascii="仿宋_GB2312" w:eastAsia="仿宋_GB2312"/>
          <w:sz w:val="32"/>
          <w:szCs w:val="32"/>
        </w:rPr>
        <w:t>报名地点：新郑市公立人民医院 科研楼3楼财务部</w:t>
      </w:r>
    </w:p>
    <w:p w14:paraId="460910A6">
      <w:pPr>
        <w:keepNext w:val="0"/>
        <w:keepLines w:val="0"/>
        <w:pageBreakBefore w:val="0"/>
        <w:kinsoku/>
        <w:wordWrap/>
        <w:overflowPunct/>
        <w:topLinePunct w:val="0"/>
        <w:autoSpaceDE/>
        <w:autoSpaceDN/>
        <w:bidi w:val="0"/>
        <w:snapToGrid/>
        <w:spacing w:line="578" w:lineRule="exact"/>
        <w:ind w:left="630"/>
        <w:textAlignment w:val="auto"/>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7FB1C0D1">
      <w:pPr>
        <w:pStyle w:val="17"/>
        <w:keepNext w:val="0"/>
        <w:keepLines w:val="0"/>
        <w:pageBreakBefore w:val="0"/>
        <w:kinsoku/>
        <w:wordWrap/>
        <w:overflowPunct/>
        <w:topLinePunct w:val="0"/>
        <w:autoSpaceDE/>
        <w:autoSpaceDN/>
        <w:bidi w:val="0"/>
        <w:snapToGrid/>
        <w:spacing w:line="578" w:lineRule="exact"/>
        <w:ind w:firstLine="640" w:firstLineChars="200"/>
        <w:textAlignment w:val="auto"/>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6B8DBE9">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五、评审</w:t>
      </w:r>
    </w:p>
    <w:p w14:paraId="1E197C8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AC8D363">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789B63D8">
      <w:pPr>
        <w:keepNext w:val="0"/>
        <w:keepLines w:val="0"/>
        <w:pageBreakBefore w:val="0"/>
        <w:widowControl/>
        <w:shd w:val="clear" w:color="auto" w:fill="FFFFFF"/>
        <w:kinsoku/>
        <w:wordWrap/>
        <w:overflowPunct/>
        <w:topLinePunct w:val="0"/>
        <w:autoSpaceDE/>
        <w:autoSpaceDN/>
        <w:bidi w:val="0"/>
        <w:snapToGrid/>
        <w:spacing w:line="578"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携带标书、授权委托书及电子报价单</w:t>
      </w:r>
    </w:p>
    <w:p w14:paraId="64A11510">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F718A82">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06574184">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27D11A8">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2F5987F">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33DE1CE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3EA7D84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7647B20B">
      <w:pPr>
        <w:pStyle w:val="17"/>
        <w:spacing w:line="560" w:lineRule="exact"/>
        <w:rPr>
          <w:rFonts w:ascii="仿宋_GB2312" w:eastAsia="仿宋_GB2312"/>
          <w:sz w:val="32"/>
          <w:szCs w:val="32"/>
        </w:rPr>
      </w:pPr>
    </w:p>
    <w:p w14:paraId="7BBF6BAA">
      <w:pPr>
        <w:pStyle w:val="17"/>
        <w:spacing w:line="560" w:lineRule="exact"/>
        <w:rPr>
          <w:rFonts w:ascii="仿宋_GB2312" w:eastAsia="仿宋_GB2312"/>
          <w:sz w:val="32"/>
          <w:szCs w:val="32"/>
        </w:rPr>
      </w:pPr>
    </w:p>
    <w:p w14:paraId="1C0DEDCA">
      <w:pPr>
        <w:pStyle w:val="17"/>
        <w:spacing w:line="560" w:lineRule="exact"/>
        <w:rPr>
          <w:rFonts w:ascii="仿宋_GB2312" w:eastAsia="仿宋_GB2312"/>
          <w:sz w:val="32"/>
          <w:szCs w:val="32"/>
        </w:rPr>
      </w:pPr>
    </w:p>
    <w:p w14:paraId="3E852343">
      <w:pPr>
        <w:pStyle w:val="17"/>
        <w:spacing w:line="560" w:lineRule="exact"/>
        <w:rPr>
          <w:rFonts w:ascii="仿宋_GB2312" w:eastAsia="仿宋_GB2312"/>
          <w:sz w:val="32"/>
          <w:szCs w:val="32"/>
        </w:rPr>
      </w:pPr>
    </w:p>
    <w:p w14:paraId="7A04D690">
      <w:pPr>
        <w:pStyle w:val="17"/>
        <w:spacing w:line="560" w:lineRule="exact"/>
        <w:rPr>
          <w:rFonts w:ascii="仿宋_GB2312" w:eastAsia="仿宋_GB2312"/>
          <w:sz w:val="32"/>
          <w:szCs w:val="32"/>
        </w:rPr>
      </w:pPr>
    </w:p>
    <w:p w14:paraId="41FB498F">
      <w:pPr>
        <w:pStyle w:val="17"/>
        <w:spacing w:line="560" w:lineRule="exact"/>
        <w:rPr>
          <w:rFonts w:ascii="仿宋_GB2312" w:eastAsia="仿宋_GB2312"/>
          <w:sz w:val="32"/>
          <w:szCs w:val="32"/>
        </w:rPr>
      </w:pPr>
    </w:p>
    <w:p w14:paraId="215D5425">
      <w:pPr>
        <w:pStyle w:val="17"/>
        <w:spacing w:line="560" w:lineRule="exact"/>
        <w:rPr>
          <w:rFonts w:ascii="仿宋_GB2312" w:eastAsia="仿宋_GB2312"/>
          <w:sz w:val="32"/>
          <w:szCs w:val="32"/>
        </w:rPr>
      </w:pPr>
    </w:p>
    <w:p w14:paraId="3DAB159E">
      <w:pPr>
        <w:pStyle w:val="17"/>
        <w:spacing w:line="560" w:lineRule="exact"/>
        <w:rPr>
          <w:rFonts w:ascii="仿宋_GB2312" w:eastAsia="仿宋_GB2312"/>
          <w:sz w:val="32"/>
          <w:szCs w:val="32"/>
        </w:rPr>
      </w:pPr>
    </w:p>
    <w:p w14:paraId="6829A5EB">
      <w:pPr>
        <w:pStyle w:val="17"/>
        <w:spacing w:line="560" w:lineRule="exact"/>
        <w:rPr>
          <w:rFonts w:ascii="仿宋_GB2312" w:eastAsia="仿宋_GB2312"/>
          <w:sz w:val="32"/>
          <w:szCs w:val="32"/>
        </w:rPr>
      </w:pPr>
    </w:p>
    <w:p w14:paraId="2308084B">
      <w:pPr>
        <w:pStyle w:val="17"/>
        <w:spacing w:line="560" w:lineRule="exact"/>
        <w:rPr>
          <w:rFonts w:ascii="仿宋_GB2312" w:eastAsia="仿宋_GB2312"/>
          <w:sz w:val="32"/>
          <w:szCs w:val="32"/>
        </w:rPr>
      </w:pPr>
    </w:p>
    <w:p w14:paraId="1B8410FD">
      <w:pPr>
        <w:pStyle w:val="17"/>
        <w:spacing w:line="560" w:lineRule="exact"/>
        <w:rPr>
          <w:rFonts w:ascii="仿宋_GB2312" w:eastAsia="仿宋_GB2312"/>
          <w:sz w:val="32"/>
          <w:szCs w:val="32"/>
        </w:rPr>
      </w:pPr>
    </w:p>
    <w:p w14:paraId="68E498B5">
      <w:pPr>
        <w:pStyle w:val="17"/>
        <w:spacing w:line="560" w:lineRule="exact"/>
        <w:rPr>
          <w:rFonts w:ascii="仿宋_GB2312" w:eastAsia="仿宋_GB2312"/>
          <w:sz w:val="32"/>
          <w:szCs w:val="32"/>
        </w:rPr>
      </w:pPr>
    </w:p>
    <w:p w14:paraId="6EF87E6A">
      <w:pPr>
        <w:pStyle w:val="17"/>
        <w:spacing w:line="560" w:lineRule="exact"/>
        <w:rPr>
          <w:rFonts w:ascii="仿宋_GB2312" w:eastAsia="仿宋_GB2312"/>
          <w:sz w:val="32"/>
          <w:szCs w:val="32"/>
        </w:rPr>
      </w:pPr>
    </w:p>
    <w:p w14:paraId="6105C092">
      <w:pPr>
        <w:pStyle w:val="17"/>
        <w:spacing w:line="560" w:lineRule="exact"/>
        <w:rPr>
          <w:rFonts w:ascii="仿宋_GB2312" w:eastAsia="仿宋_GB2312"/>
          <w:sz w:val="32"/>
          <w:szCs w:val="32"/>
        </w:rPr>
      </w:pPr>
    </w:p>
    <w:p w14:paraId="66C8E63F">
      <w:pPr>
        <w:pStyle w:val="17"/>
        <w:spacing w:line="560" w:lineRule="exact"/>
        <w:rPr>
          <w:rFonts w:ascii="仿宋_GB2312" w:eastAsia="仿宋_GB2312"/>
          <w:sz w:val="32"/>
          <w:szCs w:val="32"/>
        </w:rPr>
      </w:pPr>
    </w:p>
    <w:p w14:paraId="75A29C11">
      <w:pPr>
        <w:pStyle w:val="17"/>
        <w:spacing w:line="560" w:lineRule="exact"/>
        <w:rPr>
          <w:rFonts w:ascii="仿宋_GB2312" w:eastAsia="仿宋_GB2312"/>
          <w:sz w:val="32"/>
          <w:szCs w:val="32"/>
        </w:rPr>
      </w:pPr>
    </w:p>
    <w:p w14:paraId="369984B7">
      <w:pPr>
        <w:pStyle w:val="17"/>
        <w:spacing w:line="560" w:lineRule="exact"/>
        <w:rPr>
          <w:rFonts w:ascii="仿宋_GB2312" w:eastAsia="仿宋_GB2312"/>
          <w:sz w:val="32"/>
          <w:szCs w:val="32"/>
        </w:rPr>
      </w:pPr>
    </w:p>
    <w:p w14:paraId="33D3E578">
      <w:pPr>
        <w:pStyle w:val="17"/>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7"/>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7"/>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17"/>
      </w:pPr>
    </w:p>
    <w:p w14:paraId="4E7ADA2F">
      <w:pPr>
        <w:pStyle w:val="17"/>
      </w:pPr>
    </w:p>
    <w:p w14:paraId="2F733C50">
      <w:pPr>
        <w:pStyle w:val="17"/>
      </w:pPr>
    </w:p>
    <w:p w14:paraId="482202A0">
      <w:pPr>
        <w:pStyle w:val="17"/>
      </w:pPr>
    </w:p>
    <w:p w14:paraId="6406EBEB">
      <w:pPr>
        <w:pStyle w:val="17"/>
      </w:pPr>
    </w:p>
    <w:p w14:paraId="19657E0A">
      <w:pPr>
        <w:pStyle w:val="17"/>
      </w:pPr>
    </w:p>
    <w:p w14:paraId="3C0A7128">
      <w:pPr>
        <w:pStyle w:val="17"/>
      </w:pPr>
    </w:p>
    <w:p w14:paraId="2892849A">
      <w:pPr>
        <w:pStyle w:val="17"/>
      </w:pPr>
    </w:p>
    <w:p w14:paraId="104D3F49">
      <w:pPr>
        <w:pStyle w:val="17"/>
      </w:pPr>
    </w:p>
    <w:p w14:paraId="490A6E64">
      <w:pPr>
        <w:numPr>
          <w:ilvl w:val="0"/>
          <w:numId w:val="7"/>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1"/>
        <w:tblW w:w="8504" w:type="dxa"/>
        <w:tblInd w:w="0" w:type="dxa"/>
        <w:tblLayout w:type="fixed"/>
        <w:tblCellMar>
          <w:top w:w="0" w:type="dxa"/>
          <w:left w:w="0" w:type="dxa"/>
          <w:bottom w:w="0" w:type="dxa"/>
          <w:right w:w="0" w:type="dxa"/>
        </w:tblCellMar>
      </w:tblPr>
      <w:tblGrid>
        <w:gridCol w:w="914"/>
        <w:gridCol w:w="1007"/>
        <w:gridCol w:w="1680"/>
        <w:gridCol w:w="4903"/>
      </w:tblGrid>
      <w:tr w14:paraId="06C6D721">
        <w:tblPrEx>
          <w:tblCellMar>
            <w:top w:w="0" w:type="dxa"/>
            <w:left w:w="0" w:type="dxa"/>
            <w:bottom w:w="0" w:type="dxa"/>
            <w:right w:w="0" w:type="dxa"/>
          </w:tblCellMar>
        </w:tblPrEx>
        <w:trPr>
          <w:trHeight w:val="2428" w:hRule="atLeast"/>
        </w:trPr>
        <w:tc>
          <w:tcPr>
            <w:tcW w:w="914" w:type="dxa"/>
            <w:tcBorders>
              <w:top w:val="single" w:color="000000" w:sz="4" w:space="0"/>
              <w:left w:val="single" w:color="auto" w:sz="4" w:space="0"/>
              <w:bottom w:val="single" w:color="auto" w:sz="4" w:space="0"/>
              <w:right w:val="single" w:color="auto" w:sz="4" w:space="0"/>
            </w:tcBorders>
            <w:vAlign w:val="center"/>
          </w:tcPr>
          <w:p w14:paraId="07AF90FD">
            <w:pPr>
              <w:autoSpaceDE w:val="0"/>
              <w:autoSpaceDN w:val="0"/>
              <w:adjustRightInd w:val="0"/>
              <w:spacing w:before="50" w:line="300" w:lineRule="auto"/>
              <w:ind w:left="59" w:leftChars="28" w:right="96" w:firstLine="4" w:firstLineChars="2"/>
              <w:jc w:val="center"/>
              <w:rPr>
                <w:rFonts w:hint="eastAsia" w:ascii="宋体" w:hAnsi="宋体" w:eastAsia="宋体" w:cs="宋体"/>
                <w:sz w:val="22"/>
                <w:szCs w:val="22"/>
              </w:rPr>
            </w:pPr>
            <w:r>
              <w:rPr>
                <w:rFonts w:hint="eastAsia" w:ascii="宋体" w:hAnsi="宋体" w:eastAsia="宋体" w:cs="宋体"/>
                <w:sz w:val="22"/>
                <w:szCs w:val="22"/>
              </w:rPr>
              <w:t>1</w:t>
            </w:r>
          </w:p>
        </w:tc>
        <w:tc>
          <w:tcPr>
            <w:tcW w:w="1007" w:type="dxa"/>
            <w:tcBorders>
              <w:top w:val="single" w:color="000000" w:sz="4" w:space="0"/>
              <w:left w:val="single" w:color="auto" w:sz="4" w:space="0"/>
              <w:bottom w:val="single" w:color="auto" w:sz="4" w:space="0"/>
              <w:right w:val="single" w:color="auto" w:sz="4" w:space="0"/>
            </w:tcBorders>
            <w:vAlign w:val="center"/>
          </w:tcPr>
          <w:p w14:paraId="7559EDC2">
            <w:pPr>
              <w:autoSpaceDE w:val="0"/>
              <w:autoSpaceDN w:val="0"/>
              <w:adjustRightInd w:val="0"/>
              <w:spacing w:before="50" w:line="300" w:lineRule="auto"/>
              <w:ind w:left="59" w:leftChars="28" w:right="96" w:firstLine="4" w:firstLineChars="2"/>
              <w:jc w:val="center"/>
              <w:rPr>
                <w:rFonts w:hint="eastAsia" w:ascii="宋体" w:hAnsi="宋体" w:eastAsia="宋体" w:cs="宋体"/>
                <w:sz w:val="22"/>
                <w:szCs w:val="22"/>
              </w:rPr>
            </w:pPr>
            <w:r>
              <w:rPr>
                <w:rFonts w:hint="eastAsia" w:ascii="宋体" w:hAnsi="宋体" w:eastAsia="宋体" w:cs="宋体"/>
                <w:sz w:val="22"/>
                <w:szCs w:val="22"/>
              </w:rPr>
              <w:t>最终报价（30分）</w:t>
            </w:r>
          </w:p>
        </w:tc>
        <w:tc>
          <w:tcPr>
            <w:tcW w:w="1680" w:type="dxa"/>
            <w:tcBorders>
              <w:top w:val="single" w:color="000000" w:sz="4" w:space="0"/>
              <w:left w:val="single" w:color="auto" w:sz="4" w:space="0"/>
              <w:bottom w:val="single" w:color="000000" w:sz="4" w:space="0"/>
              <w:right w:val="single" w:color="000000" w:sz="4" w:space="0"/>
            </w:tcBorders>
            <w:vAlign w:val="center"/>
          </w:tcPr>
          <w:p w14:paraId="16031FFE">
            <w:pPr>
              <w:autoSpaceDE w:val="0"/>
              <w:autoSpaceDN w:val="0"/>
              <w:adjustRightInd w:val="0"/>
              <w:spacing w:before="50" w:line="300" w:lineRule="auto"/>
              <w:ind w:right="97" w:firstLine="61" w:firstLineChars="28"/>
              <w:jc w:val="center"/>
              <w:rPr>
                <w:rFonts w:hint="eastAsia" w:ascii="宋体" w:hAnsi="宋体" w:eastAsia="宋体" w:cs="宋体"/>
                <w:sz w:val="22"/>
                <w:szCs w:val="22"/>
              </w:rPr>
            </w:pPr>
            <w:r>
              <w:rPr>
                <w:rFonts w:hint="eastAsia" w:ascii="宋体" w:hAnsi="宋体" w:eastAsia="宋体" w:cs="宋体"/>
                <w:sz w:val="22"/>
                <w:szCs w:val="22"/>
              </w:rPr>
              <w:t>最终报价</w:t>
            </w:r>
          </w:p>
          <w:p w14:paraId="10EF1823">
            <w:pPr>
              <w:autoSpaceDE w:val="0"/>
              <w:autoSpaceDN w:val="0"/>
              <w:adjustRightInd w:val="0"/>
              <w:spacing w:before="50" w:line="300" w:lineRule="auto"/>
              <w:ind w:right="97" w:firstLine="61" w:firstLineChars="28"/>
              <w:jc w:val="center"/>
              <w:rPr>
                <w:rFonts w:hint="eastAsia" w:ascii="宋体" w:hAnsi="宋体" w:eastAsia="宋体" w:cs="宋体"/>
                <w:sz w:val="22"/>
                <w:szCs w:val="22"/>
              </w:rPr>
            </w:pPr>
            <w:r>
              <w:rPr>
                <w:rFonts w:hint="eastAsia" w:ascii="宋体" w:hAnsi="宋体" w:eastAsia="宋体" w:cs="宋体"/>
                <w:sz w:val="22"/>
                <w:szCs w:val="22"/>
              </w:rPr>
              <w:t>（30分）</w:t>
            </w:r>
          </w:p>
        </w:tc>
        <w:tc>
          <w:tcPr>
            <w:tcW w:w="4903" w:type="dxa"/>
            <w:tcBorders>
              <w:top w:val="single" w:color="000000" w:sz="4" w:space="0"/>
              <w:left w:val="single" w:color="000000" w:sz="4" w:space="0"/>
              <w:bottom w:val="single" w:color="000000" w:sz="4" w:space="0"/>
              <w:right w:val="single" w:color="000000" w:sz="4" w:space="0"/>
            </w:tcBorders>
            <w:vAlign w:val="center"/>
          </w:tcPr>
          <w:p w14:paraId="3F7DA76B">
            <w:pPr>
              <w:tabs>
                <w:tab w:val="left" w:pos="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本项目以满足采购文件要求且报价最低的最终报价为基准价，其价格分为满分。</w:t>
            </w:r>
          </w:p>
          <w:p w14:paraId="528C9042">
            <w:pPr>
              <w:tabs>
                <w:tab w:val="left" w:pos="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其他供应商的价格分统一按照下列公式计算：</w:t>
            </w:r>
          </w:p>
          <w:p w14:paraId="75870C64">
            <w:pPr>
              <w:tabs>
                <w:tab w:val="left" w:pos="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最终报价得分=(基准报价／最终评标价)×30分。</w:t>
            </w:r>
          </w:p>
          <w:p w14:paraId="58F33F0E">
            <w:pPr>
              <w:tabs>
                <w:tab w:val="left" w:pos="0"/>
              </w:tabs>
              <w:spacing w:line="300" w:lineRule="auto"/>
              <w:rPr>
                <w:rFonts w:hint="eastAsia" w:ascii="宋体" w:hAnsi="宋体" w:eastAsia="宋体" w:cs="宋体"/>
                <w:sz w:val="22"/>
                <w:szCs w:val="22"/>
              </w:rPr>
            </w:pPr>
            <w:r>
              <w:rPr>
                <w:rFonts w:hint="eastAsia" w:ascii="宋体" w:hAnsi="宋体" w:eastAsia="宋体" w:cs="宋体"/>
                <w:sz w:val="22"/>
                <w:szCs w:val="22"/>
              </w:rPr>
              <w:t>注：有效供应商最终评标价=供应商最终报价×100%</w:t>
            </w:r>
          </w:p>
        </w:tc>
      </w:tr>
      <w:tr w14:paraId="4F07F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914" w:type="dxa"/>
            <w:vMerge w:val="restart"/>
            <w:vAlign w:val="center"/>
          </w:tcPr>
          <w:p w14:paraId="1537B4B4">
            <w:pPr>
              <w:spacing w:line="300" w:lineRule="auto"/>
              <w:jc w:val="center"/>
              <w:rPr>
                <w:rFonts w:hint="eastAsia" w:ascii="宋体" w:hAnsi="宋体" w:eastAsia="宋体" w:cs="宋体"/>
                <w:sz w:val="22"/>
                <w:szCs w:val="22"/>
              </w:rPr>
            </w:pPr>
            <w:r>
              <w:rPr>
                <w:rFonts w:hint="eastAsia" w:ascii="宋体" w:hAnsi="宋体" w:eastAsia="宋体" w:cs="宋体"/>
                <w:sz w:val="22"/>
                <w:szCs w:val="22"/>
              </w:rPr>
              <w:t>2</w:t>
            </w:r>
          </w:p>
        </w:tc>
        <w:tc>
          <w:tcPr>
            <w:tcW w:w="1007" w:type="dxa"/>
            <w:vMerge w:val="restart"/>
            <w:vAlign w:val="center"/>
          </w:tcPr>
          <w:p w14:paraId="151C1B36">
            <w:pPr>
              <w:spacing w:line="300" w:lineRule="auto"/>
              <w:jc w:val="center"/>
              <w:rPr>
                <w:rFonts w:hint="eastAsia" w:ascii="宋体" w:hAnsi="宋体" w:eastAsia="宋体" w:cs="宋体"/>
                <w:sz w:val="22"/>
                <w:szCs w:val="22"/>
              </w:rPr>
            </w:pPr>
            <w:r>
              <w:rPr>
                <w:rFonts w:hint="eastAsia" w:ascii="宋体" w:hAnsi="宋体" w:eastAsia="宋体" w:cs="宋体"/>
                <w:sz w:val="22"/>
                <w:szCs w:val="22"/>
              </w:rPr>
              <w:t>商务评分标准</w:t>
            </w:r>
          </w:p>
          <w:p w14:paraId="724C9478">
            <w:pPr>
              <w:spacing w:line="30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rPr>
              <w:t xml:space="preserve"> 23</w:t>
            </w:r>
            <w:r>
              <w:rPr>
                <w:rFonts w:hint="eastAsia" w:ascii="宋体" w:hAnsi="宋体" w:eastAsia="宋体" w:cs="宋体"/>
                <w:sz w:val="22"/>
                <w:szCs w:val="22"/>
              </w:rPr>
              <w:t>分）</w:t>
            </w:r>
          </w:p>
        </w:tc>
        <w:tc>
          <w:tcPr>
            <w:tcW w:w="1680" w:type="dxa"/>
            <w:vAlign w:val="center"/>
          </w:tcPr>
          <w:p w14:paraId="7EE8C616">
            <w:pPr>
              <w:spacing w:line="300" w:lineRule="auto"/>
              <w:jc w:val="center"/>
              <w:rPr>
                <w:rFonts w:hint="eastAsia" w:ascii="宋体" w:hAnsi="宋体" w:cs="宋体"/>
                <w:sz w:val="22"/>
                <w:szCs w:val="22"/>
              </w:rPr>
            </w:pPr>
            <w:r>
              <w:rPr>
                <w:rFonts w:ascii="宋体" w:hAnsi="宋体" w:cs="宋体"/>
                <w:sz w:val="22"/>
                <w:szCs w:val="22"/>
              </w:rPr>
              <w:t>类似业绩</w:t>
            </w:r>
          </w:p>
          <w:p w14:paraId="43043BFE">
            <w:pPr>
              <w:spacing w:line="300" w:lineRule="auto"/>
              <w:jc w:val="center"/>
              <w:rPr>
                <w:sz w:val="22"/>
                <w:szCs w:val="28"/>
              </w:rPr>
            </w:pPr>
            <w:r>
              <w:rPr>
                <w:rFonts w:ascii="宋体" w:hAnsi="宋体" w:cs="宋体"/>
                <w:sz w:val="22"/>
                <w:szCs w:val="22"/>
              </w:rPr>
              <w:t xml:space="preserve">（ </w:t>
            </w:r>
            <w:r>
              <w:rPr>
                <w:rFonts w:hint="eastAsia" w:ascii="宋体" w:hAnsi="宋体" w:cs="宋体"/>
                <w:sz w:val="22"/>
                <w:szCs w:val="22"/>
              </w:rPr>
              <w:t>15</w:t>
            </w:r>
            <w:r>
              <w:rPr>
                <w:rFonts w:ascii="宋体" w:hAnsi="宋体" w:cs="宋体"/>
                <w:sz w:val="22"/>
                <w:szCs w:val="22"/>
              </w:rPr>
              <w:t>分）</w:t>
            </w:r>
          </w:p>
        </w:tc>
        <w:tc>
          <w:tcPr>
            <w:tcW w:w="4903" w:type="dxa"/>
            <w:vAlign w:val="center"/>
          </w:tcPr>
          <w:p w14:paraId="147E5ECF">
            <w:pPr>
              <w:spacing w:line="300" w:lineRule="auto"/>
              <w:jc w:val="left"/>
              <w:rPr>
                <w:rFonts w:hint="eastAsia" w:ascii="宋体" w:hAnsi="宋体"/>
                <w:sz w:val="22"/>
                <w:szCs w:val="22"/>
              </w:rPr>
            </w:pPr>
            <w:r>
              <w:rPr>
                <w:rFonts w:hint="eastAsia" w:ascii="宋体" w:hAnsi="宋体"/>
                <w:sz w:val="22"/>
                <w:szCs w:val="22"/>
              </w:rPr>
              <w:t>供应商2022年1月至今承担过医院类似业绩，提供一个得3分，满分15分。（提供项目中标通知书或合同，否则不得分。）</w:t>
            </w:r>
          </w:p>
        </w:tc>
      </w:tr>
      <w:tr w14:paraId="01F4C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914" w:type="dxa"/>
            <w:vMerge w:val="continue"/>
            <w:vAlign w:val="center"/>
          </w:tcPr>
          <w:p w14:paraId="7F5D5D55">
            <w:pPr>
              <w:spacing w:line="300" w:lineRule="auto"/>
              <w:jc w:val="center"/>
              <w:rPr>
                <w:rFonts w:hint="eastAsia" w:ascii="宋体" w:hAnsi="宋体" w:eastAsia="宋体" w:cs="宋体"/>
                <w:sz w:val="22"/>
                <w:szCs w:val="22"/>
              </w:rPr>
            </w:pPr>
          </w:p>
        </w:tc>
        <w:tc>
          <w:tcPr>
            <w:tcW w:w="1007" w:type="dxa"/>
            <w:vMerge w:val="continue"/>
            <w:vAlign w:val="center"/>
          </w:tcPr>
          <w:p w14:paraId="3BD27094">
            <w:pPr>
              <w:spacing w:line="300" w:lineRule="auto"/>
              <w:jc w:val="center"/>
              <w:rPr>
                <w:rFonts w:hint="eastAsia" w:ascii="宋体" w:hAnsi="宋体" w:eastAsia="宋体" w:cs="宋体"/>
                <w:sz w:val="22"/>
                <w:szCs w:val="22"/>
              </w:rPr>
            </w:pPr>
          </w:p>
        </w:tc>
        <w:tc>
          <w:tcPr>
            <w:tcW w:w="1680" w:type="dxa"/>
            <w:vAlign w:val="center"/>
          </w:tcPr>
          <w:p w14:paraId="1335AA6C">
            <w:pPr>
              <w:spacing w:line="300" w:lineRule="auto"/>
              <w:jc w:val="center"/>
              <w:rPr>
                <w:rFonts w:hint="eastAsia" w:ascii="宋体" w:hAnsi="宋体" w:eastAsia="宋体" w:cs="宋体"/>
                <w:sz w:val="22"/>
                <w:szCs w:val="22"/>
              </w:rPr>
            </w:pPr>
            <w:r>
              <w:rPr>
                <w:rFonts w:hint="eastAsia" w:ascii="宋体" w:hAnsi="宋体" w:eastAsia="宋体" w:cs="宋体"/>
                <w:sz w:val="22"/>
                <w:szCs w:val="22"/>
              </w:rPr>
              <w:t>人员组成</w:t>
            </w:r>
          </w:p>
          <w:p w14:paraId="0CD79DBF">
            <w:pPr>
              <w:spacing w:line="30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rPr>
              <w:t xml:space="preserve"> 8</w:t>
            </w:r>
            <w:r>
              <w:rPr>
                <w:rFonts w:hint="eastAsia" w:ascii="宋体" w:hAnsi="宋体" w:eastAsia="宋体" w:cs="宋体"/>
                <w:sz w:val="22"/>
                <w:szCs w:val="22"/>
              </w:rPr>
              <w:t>分）</w:t>
            </w:r>
          </w:p>
        </w:tc>
        <w:tc>
          <w:tcPr>
            <w:tcW w:w="4903" w:type="dxa"/>
            <w:vAlign w:val="center"/>
          </w:tcPr>
          <w:p w14:paraId="46CB57D1">
            <w:pPr>
              <w:spacing w:line="300" w:lineRule="auto"/>
              <w:jc w:val="left"/>
              <w:rPr>
                <w:rFonts w:hint="eastAsia" w:ascii="宋体" w:hAnsi="宋体" w:eastAsia="宋体" w:cs="Times New Roman"/>
                <w:sz w:val="22"/>
                <w:szCs w:val="22"/>
              </w:rPr>
            </w:pPr>
            <w:r>
              <w:rPr>
                <w:rFonts w:hint="eastAsia" w:ascii="宋体" w:hAnsi="宋体"/>
                <w:sz w:val="22"/>
                <w:szCs w:val="22"/>
              </w:rPr>
              <w:t>项目组成员中每具有1 名工程类高级职称得3分，中级职称每个得2 分，最多得 8 分。（提供人员相关证书及本单位近三个月任意一个月缴纳社保的证明加盖公章）</w:t>
            </w:r>
          </w:p>
        </w:tc>
      </w:tr>
      <w:tr w14:paraId="113D7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2" w:hRule="atLeast"/>
        </w:trPr>
        <w:tc>
          <w:tcPr>
            <w:tcW w:w="914" w:type="dxa"/>
            <w:vMerge w:val="restart"/>
            <w:vAlign w:val="center"/>
          </w:tcPr>
          <w:p w14:paraId="265A804D">
            <w:pPr>
              <w:spacing w:line="300" w:lineRule="auto"/>
              <w:jc w:val="center"/>
              <w:rPr>
                <w:rFonts w:hint="eastAsia" w:ascii="宋体" w:hAnsi="宋体" w:eastAsia="宋体" w:cs="宋体"/>
                <w:sz w:val="22"/>
                <w:szCs w:val="22"/>
              </w:rPr>
            </w:pPr>
            <w:r>
              <w:rPr>
                <w:rFonts w:hint="eastAsia" w:ascii="宋体" w:hAnsi="宋体" w:eastAsia="宋体" w:cs="宋体"/>
                <w:sz w:val="22"/>
                <w:szCs w:val="22"/>
              </w:rPr>
              <w:t>3</w:t>
            </w:r>
          </w:p>
        </w:tc>
        <w:tc>
          <w:tcPr>
            <w:tcW w:w="1007" w:type="dxa"/>
            <w:vMerge w:val="restart"/>
            <w:vAlign w:val="center"/>
          </w:tcPr>
          <w:p w14:paraId="78F8C3F7">
            <w:pPr>
              <w:spacing w:line="300" w:lineRule="auto"/>
              <w:jc w:val="center"/>
              <w:rPr>
                <w:rFonts w:hint="eastAsia" w:ascii="宋体" w:hAnsi="宋体" w:cs="宋体"/>
                <w:sz w:val="22"/>
                <w:szCs w:val="22"/>
              </w:rPr>
            </w:pPr>
            <w:r>
              <w:rPr>
                <w:rFonts w:hint="eastAsia" w:ascii="宋体" w:hAnsi="宋体" w:cs="宋体"/>
                <w:sz w:val="22"/>
                <w:szCs w:val="22"/>
              </w:rPr>
              <w:t>技术评分 标准</w:t>
            </w:r>
          </w:p>
          <w:p w14:paraId="7A82E233">
            <w:pPr>
              <w:spacing w:line="300" w:lineRule="auto"/>
              <w:jc w:val="center"/>
              <w:rPr>
                <w:rFonts w:hint="eastAsia" w:ascii="宋体" w:hAnsi="宋体" w:cs="宋体"/>
                <w:sz w:val="22"/>
                <w:szCs w:val="22"/>
              </w:rPr>
            </w:pPr>
            <w:r>
              <w:rPr>
                <w:rFonts w:hint="eastAsia" w:ascii="宋体" w:hAnsi="宋体" w:cs="宋体"/>
                <w:sz w:val="22"/>
                <w:szCs w:val="22"/>
              </w:rPr>
              <w:t>（ 47分）</w:t>
            </w:r>
          </w:p>
        </w:tc>
        <w:tc>
          <w:tcPr>
            <w:tcW w:w="1680" w:type="dxa"/>
            <w:vAlign w:val="center"/>
          </w:tcPr>
          <w:p w14:paraId="0A2CA7F4">
            <w:pPr>
              <w:spacing w:line="300" w:lineRule="auto"/>
              <w:jc w:val="center"/>
              <w:rPr>
                <w:rFonts w:hint="eastAsia" w:ascii="宋体" w:hAnsi="宋体" w:cs="宋体"/>
                <w:sz w:val="22"/>
                <w:szCs w:val="22"/>
              </w:rPr>
            </w:pPr>
            <w:r>
              <w:rPr>
                <w:rFonts w:hint="eastAsia" w:ascii="宋体" w:hAnsi="宋体" w:cs="宋体"/>
                <w:sz w:val="22"/>
                <w:szCs w:val="22"/>
              </w:rPr>
              <w:t>审计方案</w:t>
            </w:r>
          </w:p>
          <w:p w14:paraId="6E3404FE">
            <w:pPr>
              <w:spacing w:line="300" w:lineRule="auto"/>
              <w:jc w:val="center"/>
              <w:rPr>
                <w:rFonts w:hint="eastAsia" w:ascii="宋体" w:hAnsi="宋体" w:cs="宋体"/>
                <w:sz w:val="22"/>
                <w:szCs w:val="22"/>
              </w:rPr>
            </w:pPr>
            <w:r>
              <w:rPr>
                <w:rFonts w:hint="eastAsia" w:ascii="宋体" w:hAnsi="宋体" w:cs="宋体"/>
                <w:sz w:val="22"/>
                <w:szCs w:val="22"/>
              </w:rPr>
              <w:t>（ 20分）</w:t>
            </w:r>
          </w:p>
        </w:tc>
        <w:tc>
          <w:tcPr>
            <w:tcW w:w="4903" w:type="dxa"/>
            <w:vAlign w:val="center"/>
          </w:tcPr>
          <w:p w14:paraId="5CB07DCE">
            <w:pPr>
              <w:spacing w:line="300" w:lineRule="auto"/>
              <w:jc w:val="left"/>
              <w:rPr>
                <w:rFonts w:hint="eastAsia" w:ascii="宋体" w:hAnsi="宋体" w:eastAsia="宋体" w:cs="宋体"/>
                <w:sz w:val="22"/>
                <w:szCs w:val="22"/>
              </w:rPr>
            </w:pPr>
            <w:r>
              <w:rPr>
                <w:rFonts w:hint="eastAsia" w:ascii="宋体" w:hAnsi="宋体" w:eastAsia="宋体" w:cs="宋体"/>
                <w:sz w:val="22"/>
                <w:szCs w:val="22"/>
              </w:rPr>
              <w:t>根据投标人服务方案的全面性、科学性、合理性进行综合比较。</w:t>
            </w:r>
          </w:p>
          <w:p w14:paraId="79D739A6">
            <w:pPr>
              <w:spacing w:line="300" w:lineRule="auto"/>
              <w:jc w:val="left"/>
              <w:rPr>
                <w:rFonts w:hint="eastAsia" w:ascii="宋体" w:hAnsi="宋体" w:eastAsia="宋体" w:cs="宋体"/>
                <w:sz w:val="22"/>
                <w:szCs w:val="22"/>
              </w:rPr>
            </w:pPr>
            <w:r>
              <w:rPr>
                <w:rFonts w:hint="eastAsia" w:ascii="宋体" w:hAnsi="宋体" w:eastAsia="宋体" w:cs="宋体"/>
                <w:sz w:val="22"/>
                <w:szCs w:val="22"/>
              </w:rPr>
              <w:t>1.服务方案描述详细、全面、完整、清晰、科学、合理得14-20分；</w:t>
            </w:r>
          </w:p>
          <w:p w14:paraId="50CB9222">
            <w:pPr>
              <w:spacing w:line="300" w:lineRule="auto"/>
              <w:jc w:val="left"/>
              <w:rPr>
                <w:rFonts w:hint="eastAsia" w:ascii="宋体" w:hAnsi="宋体" w:eastAsia="宋体" w:cs="宋体"/>
                <w:sz w:val="22"/>
                <w:szCs w:val="22"/>
              </w:rPr>
            </w:pPr>
            <w:r>
              <w:rPr>
                <w:rFonts w:hint="eastAsia" w:ascii="宋体" w:hAnsi="宋体" w:eastAsia="宋体" w:cs="宋体"/>
                <w:sz w:val="22"/>
                <w:szCs w:val="22"/>
              </w:rPr>
              <w:t>2.服务方案描述较详细、全面、清晰、合理得7-13分；</w:t>
            </w:r>
          </w:p>
          <w:p w14:paraId="2CB213DF">
            <w:pPr>
              <w:spacing w:line="300" w:lineRule="auto"/>
              <w:jc w:val="left"/>
              <w:rPr>
                <w:rFonts w:hint="eastAsia" w:ascii="宋体" w:hAnsi="宋体" w:eastAsia="宋体" w:cs="宋体"/>
                <w:sz w:val="22"/>
                <w:szCs w:val="22"/>
              </w:rPr>
            </w:pPr>
            <w:r>
              <w:rPr>
                <w:rFonts w:hint="eastAsia" w:ascii="宋体" w:hAnsi="宋体" w:cs="宋体"/>
                <w:sz w:val="22"/>
                <w:szCs w:val="22"/>
              </w:rPr>
              <w:t>3</w:t>
            </w:r>
            <w:r>
              <w:rPr>
                <w:rFonts w:hint="eastAsia" w:ascii="宋体" w:hAnsi="宋体" w:eastAsia="宋体" w:cs="宋体"/>
                <w:sz w:val="22"/>
                <w:szCs w:val="22"/>
              </w:rPr>
              <w:t>.服务方案描述含糊，整体方案一般得1-6分；</w:t>
            </w:r>
          </w:p>
          <w:p w14:paraId="46B10C9B">
            <w:pPr>
              <w:spacing w:line="300" w:lineRule="auto"/>
              <w:jc w:val="left"/>
              <w:rPr>
                <w:rFonts w:hint="eastAsia" w:ascii="宋体" w:hAnsi="宋体" w:eastAsia="宋体" w:cs="宋体"/>
                <w:sz w:val="22"/>
                <w:szCs w:val="22"/>
              </w:rPr>
            </w:pPr>
            <w:r>
              <w:rPr>
                <w:rFonts w:hint="eastAsia" w:ascii="宋体" w:hAnsi="宋体" w:eastAsia="宋体" w:cs="宋体"/>
                <w:sz w:val="22"/>
                <w:szCs w:val="22"/>
              </w:rPr>
              <w:t>未提供者不得分。</w:t>
            </w:r>
          </w:p>
        </w:tc>
      </w:tr>
      <w:tr w14:paraId="3AE27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14" w:type="dxa"/>
            <w:vMerge w:val="continue"/>
            <w:vAlign w:val="center"/>
          </w:tcPr>
          <w:p w14:paraId="7D4370A1">
            <w:pPr>
              <w:spacing w:line="300" w:lineRule="auto"/>
              <w:jc w:val="center"/>
              <w:rPr>
                <w:rFonts w:hint="eastAsia" w:ascii="宋体" w:hAnsi="宋体" w:eastAsia="宋体" w:cs="宋体"/>
                <w:sz w:val="22"/>
                <w:szCs w:val="22"/>
              </w:rPr>
            </w:pPr>
          </w:p>
        </w:tc>
        <w:tc>
          <w:tcPr>
            <w:tcW w:w="1007" w:type="dxa"/>
            <w:vMerge w:val="continue"/>
            <w:vAlign w:val="center"/>
          </w:tcPr>
          <w:p w14:paraId="1F44C24F">
            <w:pPr>
              <w:spacing w:line="300" w:lineRule="auto"/>
              <w:jc w:val="center"/>
              <w:rPr>
                <w:rFonts w:hint="eastAsia" w:ascii="宋体" w:hAnsi="宋体" w:cs="宋体"/>
                <w:sz w:val="22"/>
                <w:szCs w:val="22"/>
              </w:rPr>
            </w:pPr>
          </w:p>
        </w:tc>
        <w:tc>
          <w:tcPr>
            <w:tcW w:w="1680" w:type="dxa"/>
            <w:vAlign w:val="center"/>
          </w:tcPr>
          <w:p w14:paraId="2BDF00E1">
            <w:pPr>
              <w:spacing w:line="300" w:lineRule="auto"/>
              <w:jc w:val="center"/>
              <w:rPr>
                <w:rFonts w:hint="eastAsia" w:ascii="宋体" w:hAnsi="宋体" w:cs="宋体"/>
                <w:sz w:val="22"/>
                <w:szCs w:val="22"/>
              </w:rPr>
            </w:pPr>
            <w:r>
              <w:rPr>
                <w:rFonts w:hint="eastAsia" w:ascii="宋体" w:hAnsi="宋体" w:cs="宋体"/>
                <w:sz w:val="22"/>
                <w:szCs w:val="22"/>
              </w:rPr>
              <w:t>项目组织</w:t>
            </w:r>
          </w:p>
          <w:p w14:paraId="253189B6">
            <w:pPr>
              <w:spacing w:line="300" w:lineRule="auto"/>
              <w:jc w:val="center"/>
              <w:rPr>
                <w:rFonts w:hint="eastAsia" w:ascii="宋体" w:hAnsi="宋体" w:cs="宋体"/>
                <w:sz w:val="22"/>
                <w:szCs w:val="22"/>
              </w:rPr>
            </w:pPr>
            <w:r>
              <w:rPr>
                <w:rFonts w:hint="eastAsia" w:ascii="宋体" w:hAnsi="宋体" w:cs="宋体"/>
                <w:sz w:val="22"/>
                <w:szCs w:val="22"/>
              </w:rPr>
              <w:t>实施安排</w:t>
            </w:r>
          </w:p>
          <w:p w14:paraId="787CDA03">
            <w:pPr>
              <w:spacing w:line="300" w:lineRule="auto"/>
              <w:jc w:val="center"/>
              <w:rPr>
                <w:rFonts w:hint="eastAsia" w:ascii="宋体" w:hAnsi="宋体" w:cs="宋体"/>
                <w:sz w:val="22"/>
                <w:szCs w:val="22"/>
              </w:rPr>
            </w:pPr>
            <w:r>
              <w:rPr>
                <w:rFonts w:hint="eastAsia" w:ascii="宋体" w:hAnsi="宋体" w:cs="宋体"/>
                <w:sz w:val="22"/>
                <w:szCs w:val="22"/>
              </w:rPr>
              <w:t>（ 10分）</w:t>
            </w:r>
          </w:p>
        </w:tc>
        <w:tc>
          <w:tcPr>
            <w:tcW w:w="4903" w:type="dxa"/>
            <w:vAlign w:val="center"/>
          </w:tcPr>
          <w:p w14:paraId="68C4AF8E">
            <w:pPr>
              <w:spacing w:line="300" w:lineRule="auto"/>
              <w:jc w:val="left"/>
              <w:rPr>
                <w:rFonts w:hint="eastAsia" w:ascii="宋体" w:hAnsi="宋体" w:eastAsia="宋体" w:cs="宋体"/>
                <w:sz w:val="22"/>
                <w:szCs w:val="22"/>
              </w:rPr>
            </w:pPr>
            <w:r>
              <w:rPr>
                <w:rFonts w:hint="eastAsia" w:ascii="宋体" w:hAnsi="宋体" w:eastAsia="宋体" w:cs="宋体"/>
                <w:sz w:val="22"/>
                <w:szCs w:val="22"/>
              </w:rPr>
              <w:t>针对项目组织实施安排计划，包括但不限于以下内容：</w:t>
            </w:r>
          </w:p>
          <w:p w14:paraId="5C8FCE33">
            <w:pPr>
              <w:spacing w:line="300" w:lineRule="auto"/>
              <w:jc w:val="left"/>
              <w:rPr>
                <w:rFonts w:hint="eastAsia" w:ascii="宋体" w:hAnsi="宋体" w:eastAsia="宋体" w:cs="宋体"/>
                <w:sz w:val="22"/>
                <w:szCs w:val="22"/>
              </w:rPr>
            </w:pPr>
            <w:r>
              <w:rPr>
                <w:rFonts w:hint="eastAsia" w:ascii="宋体" w:hAnsi="宋体" w:eastAsia="宋体" w:cs="宋体"/>
                <w:sz w:val="22"/>
                <w:szCs w:val="22"/>
              </w:rPr>
              <w:t>（1）拟投入的主要物资计划；</w:t>
            </w:r>
          </w:p>
          <w:p w14:paraId="13E65EC9">
            <w:pPr>
              <w:spacing w:line="300" w:lineRule="auto"/>
              <w:jc w:val="left"/>
              <w:rPr>
                <w:rFonts w:hint="eastAsia" w:ascii="宋体" w:hAnsi="宋体" w:eastAsia="宋体" w:cs="宋体"/>
                <w:sz w:val="22"/>
                <w:szCs w:val="22"/>
              </w:rPr>
            </w:pPr>
            <w:r>
              <w:rPr>
                <w:rFonts w:hint="eastAsia" w:ascii="宋体" w:hAnsi="宋体" w:eastAsia="宋体" w:cs="宋体"/>
                <w:sz w:val="22"/>
                <w:szCs w:val="22"/>
              </w:rPr>
              <w:t>（2）拟投入的主要设备计划；</w:t>
            </w:r>
          </w:p>
          <w:p w14:paraId="07CEF9D9">
            <w:pPr>
              <w:spacing w:line="300" w:lineRule="auto"/>
              <w:jc w:val="left"/>
              <w:rPr>
                <w:rFonts w:hint="eastAsia" w:ascii="宋体" w:hAnsi="宋体" w:eastAsia="宋体" w:cs="宋体"/>
                <w:sz w:val="22"/>
                <w:szCs w:val="22"/>
              </w:rPr>
            </w:pPr>
            <w:r>
              <w:rPr>
                <w:rFonts w:hint="eastAsia" w:ascii="宋体" w:hAnsi="宋体" w:eastAsia="宋体" w:cs="宋体"/>
                <w:sz w:val="22"/>
                <w:szCs w:val="22"/>
              </w:rPr>
              <w:t>（3）人员组织计划；</w:t>
            </w:r>
          </w:p>
          <w:p w14:paraId="2A53AF7B">
            <w:pPr>
              <w:spacing w:line="300" w:lineRule="auto"/>
              <w:jc w:val="left"/>
              <w:rPr>
                <w:rFonts w:hint="eastAsia" w:ascii="宋体" w:hAnsi="宋体" w:eastAsia="宋体" w:cs="宋体"/>
                <w:sz w:val="22"/>
                <w:szCs w:val="22"/>
              </w:rPr>
            </w:pPr>
            <w:r>
              <w:rPr>
                <w:rFonts w:hint="eastAsia" w:ascii="宋体" w:hAnsi="宋体" w:eastAsia="宋体" w:cs="宋体"/>
                <w:sz w:val="22"/>
                <w:szCs w:val="22"/>
              </w:rPr>
              <w:t>（4）确保安全生产的技术组织措施；</w:t>
            </w:r>
          </w:p>
          <w:p w14:paraId="677FDD9E">
            <w:pPr>
              <w:spacing w:line="300" w:lineRule="auto"/>
              <w:jc w:val="left"/>
              <w:rPr>
                <w:rFonts w:hint="eastAsia" w:ascii="宋体" w:hAnsi="宋体" w:eastAsia="宋体" w:cs="宋体"/>
                <w:sz w:val="22"/>
                <w:szCs w:val="22"/>
              </w:rPr>
            </w:pPr>
            <w:r>
              <w:rPr>
                <w:rFonts w:hint="eastAsia" w:ascii="宋体" w:hAnsi="宋体" w:eastAsia="宋体" w:cs="宋体"/>
                <w:sz w:val="22"/>
                <w:szCs w:val="22"/>
              </w:rPr>
              <w:t>（5）进度计划</w:t>
            </w:r>
          </w:p>
          <w:p w14:paraId="2F65F1BB">
            <w:pPr>
              <w:spacing w:line="300" w:lineRule="auto"/>
              <w:jc w:val="left"/>
              <w:rPr>
                <w:rFonts w:hint="eastAsia" w:ascii="宋体" w:hAnsi="宋体" w:eastAsia="宋体" w:cs="宋体"/>
                <w:sz w:val="22"/>
                <w:szCs w:val="22"/>
              </w:rPr>
            </w:pPr>
            <w:r>
              <w:rPr>
                <w:rFonts w:hint="eastAsia" w:ascii="宋体" w:hAnsi="宋体" w:eastAsia="宋体" w:cs="宋体"/>
                <w:sz w:val="22"/>
                <w:szCs w:val="22"/>
              </w:rPr>
              <w:t>评审标准：</w:t>
            </w:r>
          </w:p>
          <w:p w14:paraId="74F76C05">
            <w:pPr>
              <w:spacing w:line="300" w:lineRule="auto"/>
              <w:jc w:val="left"/>
              <w:rPr>
                <w:rFonts w:hint="eastAsia" w:ascii="宋体" w:hAnsi="宋体" w:eastAsia="宋体" w:cs="宋体"/>
                <w:sz w:val="22"/>
                <w:szCs w:val="22"/>
              </w:rPr>
            </w:pPr>
            <w:r>
              <w:rPr>
                <w:rFonts w:hint="eastAsia" w:ascii="宋体" w:hAnsi="宋体" w:eastAsia="宋体" w:cs="宋体"/>
                <w:sz w:val="22"/>
                <w:szCs w:val="22"/>
              </w:rPr>
              <w:t>（1)完整性：方案完整，切合本项目实际情况；</w:t>
            </w:r>
          </w:p>
          <w:p w14:paraId="52F7FAE5">
            <w:pPr>
              <w:spacing w:line="300" w:lineRule="auto"/>
              <w:jc w:val="left"/>
              <w:rPr>
                <w:rFonts w:hint="eastAsia" w:ascii="宋体" w:hAnsi="宋体" w:eastAsia="宋体" w:cs="宋体"/>
                <w:sz w:val="22"/>
                <w:szCs w:val="22"/>
              </w:rPr>
            </w:pPr>
            <w:r>
              <w:rPr>
                <w:rFonts w:hint="eastAsia" w:ascii="宋体" w:hAnsi="宋体" w:eastAsia="宋体" w:cs="宋体"/>
                <w:sz w:val="22"/>
                <w:szCs w:val="22"/>
              </w:rPr>
              <w:t>（2)合理性：符合项目具体情况，提出方案及实施措施合理、恰当。</w:t>
            </w:r>
          </w:p>
          <w:p w14:paraId="0E60FF6E">
            <w:pPr>
              <w:spacing w:line="300" w:lineRule="auto"/>
              <w:jc w:val="left"/>
              <w:rPr>
                <w:rFonts w:hint="eastAsia" w:ascii="宋体" w:hAnsi="宋体" w:eastAsia="宋体" w:cs="宋体"/>
                <w:sz w:val="22"/>
                <w:szCs w:val="22"/>
              </w:rPr>
            </w:pPr>
            <w:r>
              <w:rPr>
                <w:rFonts w:hint="eastAsia" w:ascii="宋体" w:hAnsi="宋体" w:eastAsia="宋体" w:cs="宋体"/>
                <w:sz w:val="22"/>
                <w:szCs w:val="22"/>
              </w:rPr>
              <w:t>（3)科学性：切合采购人单位及本项目实际情况，叙述清楚、符合客观实际。</w:t>
            </w:r>
          </w:p>
          <w:p w14:paraId="3A33E971">
            <w:pPr>
              <w:spacing w:line="300" w:lineRule="auto"/>
              <w:jc w:val="left"/>
              <w:rPr>
                <w:rFonts w:hint="eastAsia" w:ascii="宋体" w:hAnsi="宋体" w:eastAsia="宋体" w:cs="宋体"/>
                <w:sz w:val="22"/>
                <w:szCs w:val="22"/>
              </w:rPr>
            </w:pPr>
            <w:r>
              <w:rPr>
                <w:rFonts w:hint="eastAsia" w:ascii="宋体" w:hAnsi="宋体" w:eastAsia="宋体" w:cs="宋体"/>
                <w:sz w:val="22"/>
                <w:szCs w:val="22"/>
              </w:rPr>
              <w:t>对上述评审内容及评审标准进行打分：</w:t>
            </w:r>
          </w:p>
          <w:p w14:paraId="748F5CA7">
            <w:pPr>
              <w:spacing w:line="300" w:lineRule="auto"/>
              <w:jc w:val="left"/>
              <w:rPr>
                <w:rFonts w:hint="eastAsia" w:ascii="宋体" w:hAnsi="宋体" w:eastAsia="宋体" w:cs="宋体"/>
                <w:sz w:val="22"/>
                <w:szCs w:val="22"/>
              </w:rPr>
            </w:pPr>
            <w:r>
              <w:rPr>
                <w:rFonts w:hint="eastAsia" w:ascii="宋体" w:hAnsi="宋体" w:eastAsia="宋体" w:cs="宋体"/>
                <w:sz w:val="22"/>
                <w:szCs w:val="22"/>
              </w:rPr>
              <w:t>项目组织实施安排满足完整、合理、科学的得8-10分；较完整、合理、科学的得4-7分；完整、合理、科学性较一般的得1-3分。未提供不得分。</w:t>
            </w:r>
          </w:p>
        </w:tc>
      </w:tr>
      <w:tr w14:paraId="1C6B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14" w:type="dxa"/>
            <w:vMerge w:val="continue"/>
            <w:vAlign w:val="center"/>
          </w:tcPr>
          <w:p w14:paraId="1C6C060A">
            <w:pPr>
              <w:spacing w:line="300" w:lineRule="auto"/>
              <w:jc w:val="center"/>
              <w:rPr>
                <w:rFonts w:hint="eastAsia" w:ascii="宋体" w:hAnsi="宋体" w:eastAsia="宋体" w:cs="宋体"/>
                <w:sz w:val="22"/>
                <w:szCs w:val="22"/>
              </w:rPr>
            </w:pPr>
          </w:p>
        </w:tc>
        <w:tc>
          <w:tcPr>
            <w:tcW w:w="1007" w:type="dxa"/>
            <w:vMerge w:val="continue"/>
            <w:vAlign w:val="center"/>
          </w:tcPr>
          <w:p w14:paraId="7730726A">
            <w:pPr>
              <w:spacing w:line="300" w:lineRule="auto"/>
              <w:jc w:val="center"/>
              <w:rPr>
                <w:rFonts w:hint="eastAsia" w:ascii="宋体" w:hAnsi="宋体" w:eastAsia="宋体" w:cs="宋体"/>
                <w:sz w:val="22"/>
                <w:szCs w:val="22"/>
              </w:rPr>
            </w:pPr>
          </w:p>
        </w:tc>
        <w:tc>
          <w:tcPr>
            <w:tcW w:w="1680" w:type="dxa"/>
            <w:vAlign w:val="center"/>
          </w:tcPr>
          <w:p w14:paraId="18A242F9">
            <w:pPr>
              <w:spacing w:line="300" w:lineRule="auto"/>
              <w:jc w:val="center"/>
              <w:rPr>
                <w:rFonts w:hint="eastAsia" w:ascii="宋体" w:hAnsi="宋体" w:eastAsia="宋体" w:cs="宋体"/>
                <w:sz w:val="22"/>
                <w:szCs w:val="22"/>
              </w:rPr>
            </w:pPr>
            <w:r>
              <w:rPr>
                <w:rFonts w:hint="eastAsia" w:ascii="宋体" w:hAnsi="宋体" w:eastAsia="宋体" w:cs="宋体"/>
                <w:sz w:val="22"/>
                <w:szCs w:val="22"/>
              </w:rPr>
              <w:t>对于本项目的重点、难点分析及建议</w:t>
            </w:r>
          </w:p>
          <w:p w14:paraId="23F004AE">
            <w:pPr>
              <w:spacing w:line="30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rPr>
              <w:t xml:space="preserve"> 10</w:t>
            </w:r>
            <w:r>
              <w:rPr>
                <w:rFonts w:hint="eastAsia" w:ascii="宋体" w:hAnsi="宋体" w:eastAsia="宋体" w:cs="宋体"/>
                <w:sz w:val="22"/>
                <w:szCs w:val="22"/>
              </w:rPr>
              <w:t>分）</w:t>
            </w:r>
          </w:p>
        </w:tc>
        <w:tc>
          <w:tcPr>
            <w:tcW w:w="4903" w:type="dxa"/>
            <w:vAlign w:val="center"/>
          </w:tcPr>
          <w:p w14:paraId="49F03FDB">
            <w:pPr>
              <w:spacing w:line="300" w:lineRule="auto"/>
              <w:jc w:val="left"/>
              <w:rPr>
                <w:rFonts w:hint="eastAsia" w:ascii="宋体" w:hAnsi="宋体" w:eastAsia="宋体" w:cs="宋体"/>
                <w:sz w:val="22"/>
                <w:szCs w:val="22"/>
              </w:rPr>
            </w:pPr>
            <w:r>
              <w:rPr>
                <w:rFonts w:hint="eastAsia" w:ascii="宋体" w:hAnsi="宋体" w:eastAsia="宋体" w:cs="宋体"/>
                <w:sz w:val="22"/>
                <w:szCs w:val="22"/>
              </w:rPr>
              <w:t>1.针对本项目提出的重点、难点分析及建议全面、合理、可行性强的，得8-</w:t>
            </w:r>
            <w:r>
              <w:rPr>
                <w:rFonts w:hint="eastAsia" w:ascii="宋体" w:hAnsi="宋体" w:cs="宋体"/>
                <w:sz w:val="22"/>
                <w:szCs w:val="22"/>
              </w:rPr>
              <w:t>10</w:t>
            </w:r>
            <w:r>
              <w:rPr>
                <w:rFonts w:hint="eastAsia" w:ascii="宋体" w:hAnsi="宋体" w:eastAsia="宋体" w:cs="宋体"/>
                <w:sz w:val="22"/>
                <w:szCs w:val="22"/>
              </w:rPr>
              <w:t>分；</w:t>
            </w:r>
          </w:p>
          <w:p w14:paraId="20CE9AB0">
            <w:pPr>
              <w:spacing w:line="300" w:lineRule="auto"/>
              <w:jc w:val="left"/>
              <w:rPr>
                <w:rFonts w:hint="eastAsia" w:ascii="宋体" w:hAnsi="宋体" w:eastAsia="宋体" w:cs="宋体"/>
                <w:sz w:val="22"/>
                <w:szCs w:val="22"/>
              </w:rPr>
            </w:pPr>
            <w:r>
              <w:rPr>
                <w:rFonts w:hint="eastAsia" w:ascii="宋体" w:hAnsi="宋体" w:eastAsia="宋体" w:cs="宋体"/>
                <w:sz w:val="22"/>
                <w:szCs w:val="22"/>
              </w:rPr>
              <w:t>2.针对本项目提出的重点、难点分析及建议较全面、较合理、可行性一般的，得4-</w:t>
            </w:r>
            <w:r>
              <w:rPr>
                <w:rFonts w:hint="eastAsia" w:ascii="宋体" w:hAnsi="宋体" w:cs="宋体"/>
                <w:sz w:val="22"/>
                <w:szCs w:val="22"/>
              </w:rPr>
              <w:t>7</w:t>
            </w:r>
            <w:r>
              <w:rPr>
                <w:rFonts w:hint="eastAsia" w:ascii="宋体" w:hAnsi="宋体" w:eastAsia="宋体" w:cs="宋体"/>
                <w:sz w:val="22"/>
                <w:szCs w:val="22"/>
              </w:rPr>
              <w:t>分；</w:t>
            </w:r>
          </w:p>
          <w:p w14:paraId="31111B85">
            <w:pPr>
              <w:spacing w:line="300" w:lineRule="auto"/>
              <w:jc w:val="left"/>
              <w:rPr>
                <w:rFonts w:hint="eastAsia" w:ascii="宋体" w:hAnsi="宋体" w:eastAsia="宋体" w:cs="宋体"/>
                <w:sz w:val="22"/>
                <w:szCs w:val="22"/>
              </w:rPr>
            </w:pPr>
            <w:r>
              <w:rPr>
                <w:rFonts w:hint="eastAsia" w:ascii="宋体" w:hAnsi="宋体" w:eastAsia="宋体" w:cs="宋体"/>
                <w:sz w:val="22"/>
                <w:szCs w:val="22"/>
              </w:rPr>
              <w:t>3.针对本项目提出的重点、难点分析及建议不全面合理、可行性较差的，得1-3分；</w:t>
            </w:r>
          </w:p>
          <w:p w14:paraId="78597F07">
            <w:pPr>
              <w:spacing w:line="300" w:lineRule="auto"/>
              <w:jc w:val="left"/>
              <w:rPr>
                <w:rFonts w:hint="eastAsia" w:ascii="宋体" w:hAnsi="宋体" w:eastAsia="宋体" w:cs="宋体"/>
                <w:sz w:val="22"/>
                <w:szCs w:val="22"/>
              </w:rPr>
            </w:pPr>
            <w:r>
              <w:rPr>
                <w:rFonts w:hint="eastAsia" w:ascii="宋体" w:hAnsi="宋体" w:eastAsia="宋体" w:cs="宋体"/>
                <w:sz w:val="22"/>
                <w:szCs w:val="22"/>
              </w:rPr>
              <w:t>未提供者不得分。</w:t>
            </w:r>
          </w:p>
        </w:tc>
      </w:tr>
      <w:tr w14:paraId="156D9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14" w:type="dxa"/>
            <w:vMerge w:val="continue"/>
            <w:vAlign w:val="center"/>
          </w:tcPr>
          <w:p w14:paraId="530B927C">
            <w:pPr>
              <w:spacing w:line="300" w:lineRule="auto"/>
              <w:jc w:val="center"/>
              <w:rPr>
                <w:rFonts w:hint="eastAsia" w:ascii="宋体" w:hAnsi="宋体" w:eastAsia="宋体" w:cs="宋体"/>
                <w:sz w:val="22"/>
                <w:szCs w:val="22"/>
              </w:rPr>
            </w:pPr>
          </w:p>
        </w:tc>
        <w:tc>
          <w:tcPr>
            <w:tcW w:w="1007" w:type="dxa"/>
            <w:vMerge w:val="continue"/>
            <w:vAlign w:val="center"/>
          </w:tcPr>
          <w:p w14:paraId="7DFF8E16">
            <w:pPr>
              <w:spacing w:line="300" w:lineRule="auto"/>
              <w:jc w:val="center"/>
              <w:rPr>
                <w:rFonts w:hint="eastAsia" w:ascii="宋体" w:hAnsi="宋体" w:eastAsia="宋体" w:cs="宋体"/>
                <w:sz w:val="22"/>
                <w:szCs w:val="22"/>
              </w:rPr>
            </w:pPr>
          </w:p>
        </w:tc>
        <w:tc>
          <w:tcPr>
            <w:tcW w:w="1680" w:type="dxa"/>
            <w:vAlign w:val="center"/>
          </w:tcPr>
          <w:p w14:paraId="4FFAE989">
            <w:pPr>
              <w:spacing w:line="300" w:lineRule="auto"/>
              <w:jc w:val="center"/>
              <w:rPr>
                <w:rFonts w:hint="eastAsia" w:ascii="宋体" w:hAnsi="宋体" w:eastAsia="宋体" w:cs="宋体"/>
                <w:sz w:val="22"/>
                <w:szCs w:val="22"/>
              </w:rPr>
            </w:pPr>
            <w:r>
              <w:rPr>
                <w:rFonts w:hint="eastAsia" w:ascii="宋体" w:hAnsi="宋体" w:eastAsia="宋体" w:cs="宋体"/>
                <w:sz w:val="22"/>
                <w:szCs w:val="22"/>
              </w:rPr>
              <w:t>服务的保证措施</w:t>
            </w:r>
          </w:p>
          <w:p w14:paraId="67DE1D3C">
            <w:pPr>
              <w:spacing w:line="30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rPr>
              <w:t>7</w:t>
            </w:r>
            <w:r>
              <w:rPr>
                <w:rFonts w:hint="eastAsia" w:ascii="宋体" w:hAnsi="宋体" w:eastAsia="宋体" w:cs="宋体"/>
                <w:sz w:val="22"/>
                <w:szCs w:val="22"/>
              </w:rPr>
              <w:t>分）</w:t>
            </w:r>
          </w:p>
        </w:tc>
        <w:tc>
          <w:tcPr>
            <w:tcW w:w="4903" w:type="dxa"/>
            <w:vAlign w:val="center"/>
          </w:tcPr>
          <w:p w14:paraId="4F147949">
            <w:pPr>
              <w:numPr>
                <w:ilvl w:val="0"/>
                <w:numId w:val="9"/>
              </w:numPr>
              <w:spacing w:line="300" w:lineRule="auto"/>
              <w:jc w:val="left"/>
              <w:rPr>
                <w:rFonts w:hint="eastAsia" w:ascii="宋体" w:hAnsi="宋体" w:eastAsia="宋体" w:cs="宋体"/>
                <w:sz w:val="22"/>
                <w:szCs w:val="22"/>
              </w:rPr>
            </w:pPr>
            <w:r>
              <w:rPr>
                <w:rFonts w:hint="eastAsia" w:ascii="宋体" w:hAnsi="宋体" w:eastAsia="宋体" w:cs="宋体"/>
                <w:sz w:val="22"/>
                <w:szCs w:val="22"/>
              </w:rPr>
              <w:t>质量保证措施</w:t>
            </w:r>
            <w:r>
              <w:rPr>
                <w:rFonts w:hint="eastAsia" w:ascii="宋体" w:hAnsi="宋体" w:cs="宋体"/>
                <w:sz w:val="22"/>
                <w:szCs w:val="22"/>
              </w:rPr>
              <w:t>、进度保证措施、风险防控及保密措施</w:t>
            </w:r>
            <w:r>
              <w:rPr>
                <w:rFonts w:hint="eastAsia" w:ascii="宋体" w:hAnsi="宋体" w:eastAsia="宋体" w:cs="宋体"/>
                <w:sz w:val="22"/>
                <w:szCs w:val="22"/>
              </w:rPr>
              <w:t>非常合理，且具有非常好的针对性的，得6-7分；</w:t>
            </w:r>
          </w:p>
          <w:p w14:paraId="5F7DD456">
            <w:pPr>
              <w:numPr>
                <w:ilvl w:val="0"/>
                <w:numId w:val="9"/>
              </w:numPr>
              <w:spacing w:line="300" w:lineRule="auto"/>
              <w:jc w:val="left"/>
              <w:rPr>
                <w:rFonts w:hint="eastAsia" w:ascii="宋体" w:hAnsi="宋体" w:eastAsia="宋体" w:cs="宋体"/>
                <w:sz w:val="22"/>
                <w:szCs w:val="22"/>
              </w:rPr>
            </w:pPr>
            <w:r>
              <w:rPr>
                <w:rFonts w:hint="eastAsia" w:ascii="宋体" w:hAnsi="宋体" w:eastAsia="宋体" w:cs="宋体"/>
                <w:sz w:val="22"/>
                <w:szCs w:val="22"/>
              </w:rPr>
              <w:t>质量保证措施</w:t>
            </w:r>
            <w:r>
              <w:rPr>
                <w:rFonts w:hint="eastAsia" w:ascii="宋体" w:hAnsi="宋体" w:cs="宋体"/>
                <w:sz w:val="22"/>
                <w:szCs w:val="22"/>
              </w:rPr>
              <w:t>、进度保证措施、风险防控及保密措施</w:t>
            </w:r>
            <w:r>
              <w:rPr>
                <w:rFonts w:hint="eastAsia" w:ascii="宋体" w:hAnsi="宋体" w:eastAsia="宋体" w:cs="宋体"/>
                <w:sz w:val="22"/>
                <w:szCs w:val="22"/>
              </w:rPr>
              <w:t>合理，针对性一般的，得3-5分</w:t>
            </w:r>
          </w:p>
          <w:p w14:paraId="7947D9E1">
            <w:pPr>
              <w:spacing w:line="300" w:lineRule="auto"/>
              <w:jc w:val="left"/>
              <w:rPr>
                <w:rFonts w:hint="eastAsia" w:ascii="宋体" w:hAnsi="宋体" w:eastAsia="宋体" w:cs="宋体"/>
                <w:sz w:val="22"/>
                <w:szCs w:val="22"/>
              </w:rPr>
            </w:pPr>
            <w:r>
              <w:rPr>
                <w:rFonts w:hint="eastAsia" w:ascii="宋体" w:hAnsi="宋体" w:cs="宋体"/>
                <w:sz w:val="22"/>
                <w:szCs w:val="22"/>
              </w:rPr>
              <w:t>2</w:t>
            </w:r>
            <w:r>
              <w:rPr>
                <w:rFonts w:hint="eastAsia" w:ascii="宋体" w:hAnsi="宋体" w:eastAsia="宋体" w:cs="宋体"/>
                <w:sz w:val="22"/>
                <w:szCs w:val="22"/>
              </w:rPr>
              <w:t>、质量保证措施基本可行，针对性较差的，得1-2分。</w:t>
            </w:r>
          </w:p>
          <w:p w14:paraId="547E897E">
            <w:pPr>
              <w:spacing w:line="300" w:lineRule="auto"/>
              <w:jc w:val="left"/>
              <w:rPr>
                <w:rFonts w:hint="eastAsia" w:ascii="宋体" w:hAnsi="宋体" w:eastAsia="宋体" w:cs="宋体"/>
                <w:sz w:val="22"/>
                <w:szCs w:val="22"/>
              </w:rPr>
            </w:pPr>
            <w:r>
              <w:rPr>
                <w:rFonts w:hint="eastAsia" w:ascii="宋体" w:hAnsi="宋体" w:eastAsia="宋体" w:cs="宋体"/>
                <w:sz w:val="22"/>
                <w:szCs w:val="22"/>
              </w:rPr>
              <w:t>未提供者不得分。</w:t>
            </w:r>
          </w:p>
        </w:tc>
      </w:tr>
    </w:tbl>
    <w:p w14:paraId="62AD9CD4">
      <w:pPr>
        <w:pStyle w:val="17"/>
      </w:pPr>
    </w:p>
    <w:p w14:paraId="4073EF44">
      <w:pPr>
        <w:pStyle w:val="17"/>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17"/>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17"/>
        <w:rPr>
          <w:rFonts w:hint="eastAsia" w:ascii="宋体" w:hAnsi="宋体"/>
          <w:b/>
          <w:color w:val="000000"/>
          <w:sz w:val="32"/>
          <w:szCs w:val="32"/>
        </w:rPr>
      </w:pPr>
    </w:p>
    <w:p w14:paraId="68701517">
      <w:pPr>
        <w:pStyle w:val="17"/>
        <w:rPr>
          <w:rFonts w:hint="eastAsia" w:ascii="宋体" w:hAnsi="宋体"/>
          <w:b/>
          <w:color w:val="000000"/>
          <w:sz w:val="32"/>
          <w:szCs w:val="32"/>
        </w:rPr>
      </w:pPr>
    </w:p>
    <w:p w14:paraId="5045E849">
      <w:pPr>
        <w:pStyle w:val="17"/>
        <w:rPr>
          <w:rFonts w:hint="eastAsia" w:ascii="宋体" w:hAnsi="宋体"/>
          <w:b/>
          <w:color w:val="000000"/>
          <w:sz w:val="32"/>
          <w:szCs w:val="32"/>
        </w:rPr>
      </w:pPr>
    </w:p>
    <w:p w14:paraId="750305DE">
      <w:pPr>
        <w:pStyle w:val="17"/>
        <w:rPr>
          <w:rFonts w:hint="eastAsia" w:ascii="宋体" w:hAnsi="宋体"/>
          <w:b/>
          <w:color w:val="000000"/>
          <w:sz w:val="32"/>
          <w:szCs w:val="32"/>
        </w:rPr>
      </w:pPr>
    </w:p>
    <w:p w14:paraId="47B29B5C">
      <w:pPr>
        <w:pStyle w:val="17"/>
        <w:rPr>
          <w:rFonts w:hint="eastAsia" w:ascii="宋体" w:hAnsi="宋体"/>
          <w:b/>
          <w:color w:val="000000"/>
          <w:sz w:val="32"/>
          <w:szCs w:val="32"/>
        </w:rPr>
      </w:pPr>
    </w:p>
    <w:p w14:paraId="33DEE400">
      <w:pPr>
        <w:pStyle w:val="17"/>
        <w:rPr>
          <w:rFonts w:hint="eastAsia" w:ascii="宋体" w:hAnsi="宋体"/>
          <w:b/>
          <w:color w:val="000000"/>
          <w:sz w:val="32"/>
          <w:szCs w:val="32"/>
        </w:rPr>
      </w:pPr>
    </w:p>
    <w:p w14:paraId="43F06FC7">
      <w:pPr>
        <w:pStyle w:val="17"/>
        <w:rPr>
          <w:rFonts w:hint="eastAsia" w:ascii="宋体" w:hAnsi="宋体"/>
          <w:b/>
          <w:color w:val="000000"/>
          <w:sz w:val="32"/>
          <w:szCs w:val="32"/>
        </w:rPr>
      </w:pPr>
    </w:p>
    <w:p w14:paraId="6E57D998">
      <w:pPr>
        <w:pStyle w:val="17"/>
        <w:rPr>
          <w:rFonts w:hint="eastAsia" w:ascii="宋体" w:hAnsi="宋体"/>
          <w:b/>
          <w:color w:val="000000"/>
          <w:sz w:val="32"/>
          <w:szCs w:val="32"/>
        </w:rPr>
      </w:pPr>
    </w:p>
    <w:p w14:paraId="0534AA52">
      <w:pPr>
        <w:pStyle w:val="17"/>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1"/>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审计方案</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29BCE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5C932654">
            <w:pPr>
              <w:jc w:val="center"/>
              <w:rPr>
                <w:rFonts w:hint="eastAsia"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02E9D560">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项目实施方案</w:t>
            </w:r>
          </w:p>
        </w:tc>
        <w:tc>
          <w:tcPr>
            <w:tcW w:w="5229" w:type="dxa"/>
            <w:tcBorders>
              <w:top w:val="single" w:color="auto" w:sz="4" w:space="0"/>
              <w:bottom w:val="single" w:color="auto" w:sz="4" w:space="0"/>
            </w:tcBorders>
            <w:vAlign w:val="center"/>
          </w:tcPr>
          <w:p w14:paraId="6A3288A6">
            <w:pPr>
              <w:jc w:val="center"/>
              <w:rPr>
                <w:rFonts w:hint="eastAsia" w:ascii="仿宋" w:hAnsi="仿宋" w:eastAsia="仿宋" w:cs="宋体"/>
                <w:b/>
                <w:bCs/>
                <w:color w:val="C00000"/>
                <w:kern w:val="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w:t>
            </w:r>
            <w:r>
              <w:rPr>
                <w:rFonts w:hint="eastAsia" w:ascii="仿宋" w:hAnsi="仿宋" w:eastAsia="仿宋"/>
                <w:b/>
                <w:color w:val="C00000"/>
                <w:sz w:val="22"/>
                <w:szCs w:val="21"/>
                <w:lang w:val="en-US" w:eastAsia="zh-CN"/>
              </w:rPr>
              <w:t>保障</w:t>
            </w:r>
            <w:r>
              <w:rPr>
                <w:rFonts w:hint="eastAsia" w:ascii="仿宋" w:hAnsi="仿宋" w:eastAsia="仿宋"/>
                <w:b/>
                <w:color w:val="C00000"/>
                <w:sz w:val="22"/>
                <w:szCs w:val="21"/>
              </w:rPr>
              <w:t>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17"/>
        <w:rPr>
          <w:rFonts w:ascii="仿宋_GB2312" w:eastAsia="仿宋_GB2312"/>
          <w:color w:val="000000"/>
          <w:sz w:val="28"/>
          <w:szCs w:val="28"/>
        </w:rPr>
      </w:pPr>
    </w:p>
    <w:p w14:paraId="53E89895">
      <w:pPr>
        <w:pStyle w:val="17"/>
        <w:rPr>
          <w:rFonts w:ascii="仿宋_GB2312" w:eastAsia="仿宋_GB2312"/>
          <w:color w:val="000000"/>
          <w:sz w:val="28"/>
          <w:szCs w:val="28"/>
        </w:rPr>
      </w:pPr>
    </w:p>
    <w:p w14:paraId="0E284860">
      <w:pPr>
        <w:pStyle w:val="17"/>
        <w:rPr>
          <w:rFonts w:ascii="仿宋_GB2312" w:eastAsia="仿宋_GB2312"/>
          <w:color w:val="000000"/>
          <w:sz w:val="28"/>
          <w:szCs w:val="28"/>
        </w:rPr>
      </w:pPr>
    </w:p>
    <w:p w14:paraId="0F55A925">
      <w:pPr>
        <w:pStyle w:val="17"/>
        <w:rPr>
          <w:rFonts w:ascii="仿宋_GB2312" w:eastAsia="仿宋_GB2312"/>
          <w:color w:val="000000"/>
          <w:sz w:val="28"/>
          <w:szCs w:val="28"/>
        </w:rPr>
      </w:pPr>
    </w:p>
    <w:p w14:paraId="48DE0CE2">
      <w:pPr>
        <w:pStyle w:val="17"/>
        <w:rPr>
          <w:rFonts w:ascii="仿宋_GB2312" w:eastAsia="仿宋_GB2312"/>
          <w:color w:val="000000"/>
          <w:sz w:val="28"/>
          <w:szCs w:val="28"/>
        </w:rPr>
      </w:pPr>
    </w:p>
    <w:p w14:paraId="0ED89294">
      <w:pPr>
        <w:pStyle w:val="17"/>
        <w:rPr>
          <w:rFonts w:ascii="仿宋_GB2312" w:eastAsia="仿宋_GB2312"/>
          <w:color w:val="000000"/>
          <w:sz w:val="28"/>
          <w:szCs w:val="28"/>
        </w:rPr>
      </w:pPr>
    </w:p>
    <w:p w14:paraId="7FB2CB1C">
      <w:pPr>
        <w:pStyle w:val="17"/>
        <w:rPr>
          <w:rFonts w:ascii="仿宋_GB2312" w:eastAsia="仿宋_GB2312"/>
          <w:color w:val="000000"/>
          <w:sz w:val="28"/>
          <w:szCs w:val="28"/>
        </w:rPr>
      </w:pPr>
    </w:p>
    <w:p w14:paraId="0A491A52">
      <w:pPr>
        <w:pStyle w:val="17"/>
        <w:rPr>
          <w:rFonts w:ascii="仿宋_GB2312" w:eastAsia="仿宋_GB2312"/>
          <w:color w:val="000000"/>
          <w:sz w:val="28"/>
          <w:szCs w:val="28"/>
        </w:rPr>
      </w:pPr>
    </w:p>
    <w:p w14:paraId="59C2B5FF">
      <w:pPr>
        <w:pStyle w:val="17"/>
        <w:rPr>
          <w:rFonts w:ascii="仿宋_GB2312" w:eastAsia="仿宋_GB2312"/>
          <w:color w:val="000000"/>
          <w:sz w:val="28"/>
          <w:szCs w:val="28"/>
        </w:rPr>
      </w:pPr>
    </w:p>
    <w:p w14:paraId="5F2852BA">
      <w:pPr>
        <w:pStyle w:val="17"/>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10762"/>
      <w:bookmarkStart w:id="1" w:name="_Toc248896063"/>
      <w:bookmarkStart w:id="2" w:name="_Toc9548"/>
      <w:bookmarkStart w:id="3" w:name="_Toc258360158"/>
      <w:bookmarkStart w:id="4" w:name="_Toc320878640"/>
      <w:bookmarkStart w:id="5" w:name="_Toc261708863"/>
      <w:bookmarkStart w:id="6" w:name="_Toc15313"/>
      <w:bookmarkStart w:id="7" w:name="_Toc337554724"/>
      <w:bookmarkStart w:id="8" w:name="_Toc337475854"/>
      <w:bookmarkStart w:id="9" w:name="_Toc258333636"/>
      <w:bookmarkStart w:id="10" w:name="_Toc304219257"/>
      <w:bookmarkStart w:id="11" w:name="_Toc219626747"/>
      <w:bookmarkStart w:id="12" w:name="_Toc258360269"/>
      <w:bookmarkStart w:id="13" w:name="_Toc17030"/>
      <w:bookmarkStart w:id="14" w:name="_Toc258354146"/>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17"/>
        <w:rPr>
          <w:rFonts w:hint="eastAsia" w:ascii="黑体" w:hAnsi="宋体" w:eastAsia="黑体" w:cs="宋体"/>
          <w:b/>
          <w:color w:val="000000"/>
          <w:sz w:val="32"/>
          <w:szCs w:val="32"/>
        </w:rPr>
      </w:pPr>
    </w:p>
    <w:p w14:paraId="3FBAAB68">
      <w:pPr>
        <w:pStyle w:val="17"/>
        <w:rPr>
          <w:rFonts w:hint="eastAsia" w:ascii="黑体" w:hAnsi="宋体" w:eastAsia="黑体" w:cs="宋体"/>
          <w:b/>
          <w:color w:val="000000"/>
          <w:sz w:val="32"/>
          <w:szCs w:val="32"/>
        </w:rPr>
      </w:pPr>
    </w:p>
    <w:p w14:paraId="407B74F8">
      <w:pPr>
        <w:pStyle w:val="17"/>
        <w:rPr>
          <w:rFonts w:hint="eastAsia" w:ascii="黑体" w:hAnsi="宋体" w:eastAsia="黑体" w:cs="宋体"/>
          <w:b/>
          <w:color w:val="000000"/>
          <w:sz w:val="32"/>
          <w:szCs w:val="32"/>
        </w:rPr>
      </w:pPr>
    </w:p>
    <w:p w14:paraId="570D0EA4">
      <w:pPr>
        <w:pStyle w:val="17"/>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17"/>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17"/>
        <w:rPr>
          <w:rFonts w:ascii="方正小标宋简体" w:eastAsia="方正小标宋简体"/>
          <w:color w:val="000000"/>
          <w:sz w:val="44"/>
          <w:szCs w:val="44"/>
        </w:rPr>
      </w:pPr>
    </w:p>
    <w:p w14:paraId="76C6FE79">
      <w:pPr>
        <w:pStyle w:val="17"/>
        <w:rPr>
          <w:rFonts w:ascii="方正小标宋简体" w:eastAsia="黑体"/>
          <w:color w:val="000000"/>
          <w:sz w:val="44"/>
          <w:szCs w:val="44"/>
        </w:rPr>
      </w:pPr>
      <w:r>
        <w:rPr>
          <w:rFonts w:hint="eastAsia" w:ascii="黑体" w:eastAsia="黑体"/>
          <w:color w:val="000000"/>
          <w:sz w:val="32"/>
          <w:szCs w:val="32"/>
        </w:rPr>
        <w:t>附件2</w:t>
      </w:r>
    </w:p>
    <w:p w14:paraId="7A0E3975">
      <w:pPr>
        <w:pStyle w:val="17"/>
        <w:jc w:val="center"/>
        <w:rPr>
          <w:rFonts w:ascii="黑体" w:eastAsia="黑体"/>
          <w:color w:val="000000"/>
          <w:sz w:val="32"/>
          <w:szCs w:val="32"/>
        </w:rPr>
      </w:pPr>
      <w:r>
        <w:rPr>
          <w:rFonts w:hint="eastAsia" w:ascii="黑体" w:eastAsia="黑体"/>
          <w:color w:val="000000"/>
          <w:sz w:val="32"/>
          <w:szCs w:val="32"/>
        </w:rPr>
        <w:t>报价表</w:t>
      </w:r>
    </w:p>
    <w:p w14:paraId="492EFBE0">
      <w:pPr>
        <w:pStyle w:val="17"/>
        <w:rPr>
          <w:rFonts w:ascii="黑体" w:eastAsia="黑体"/>
          <w:color w:val="000000"/>
          <w:sz w:val="32"/>
          <w:szCs w:val="32"/>
        </w:rPr>
      </w:pPr>
    </w:p>
    <w:p w14:paraId="2599CAE2">
      <w:pPr>
        <w:pStyle w:val="17"/>
        <w:rPr>
          <w:rFonts w:ascii="黑体" w:eastAsia="黑体"/>
          <w:color w:val="000000"/>
          <w:sz w:val="32"/>
          <w:szCs w:val="32"/>
        </w:rPr>
      </w:pPr>
    </w:p>
    <w:p w14:paraId="0B02726C">
      <w:pPr>
        <w:pStyle w:val="17"/>
        <w:rPr>
          <w:rFonts w:ascii="黑体" w:eastAsia="黑体"/>
          <w:color w:val="000000"/>
          <w:sz w:val="32"/>
          <w:szCs w:val="32"/>
        </w:rPr>
      </w:pPr>
    </w:p>
    <w:p w14:paraId="5F5BF10E">
      <w:pPr>
        <w:pStyle w:val="17"/>
        <w:rPr>
          <w:rFonts w:ascii="黑体" w:eastAsia="黑体"/>
          <w:color w:val="000000"/>
          <w:sz w:val="32"/>
          <w:szCs w:val="32"/>
        </w:rPr>
      </w:pPr>
    </w:p>
    <w:p w14:paraId="72DA934A">
      <w:pPr>
        <w:pStyle w:val="17"/>
        <w:rPr>
          <w:rFonts w:ascii="黑体" w:eastAsia="黑体"/>
          <w:color w:val="000000"/>
          <w:sz w:val="32"/>
          <w:szCs w:val="32"/>
        </w:rPr>
      </w:pPr>
    </w:p>
    <w:p w14:paraId="1EDFC026">
      <w:pPr>
        <w:pStyle w:val="17"/>
        <w:rPr>
          <w:rFonts w:ascii="黑体" w:eastAsia="黑体"/>
          <w:color w:val="000000"/>
          <w:sz w:val="32"/>
          <w:szCs w:val="32"/>
        </w:rPr>
      </w:pPr>
    </w:p>
    <w:p w14:paraId="3BAA7695">
      <w:pPr>
        <w:pStyle w:val="17"/>
        <w:rPr>
          <w:rFonts w:ascii="黑体" w:eastAsia="黑体"/>
          <w:color w:val="000000"/>
          <w:sz w:val="32"/>
          <w:szCs w:val="32"/>
        </w:rPr>
      </w:pPr>
    </w:p>
    <w:p w14:paraId="3263FB3B">
      <w:pPr>
        <w:pStyle w:val="17"/>
        <w:rPr>
          <w:rFonts w:ascii="黑体" w:eastAsia="黑体"/>
          <w:color w:val="000000"/>
          <w:sz w:val="32"/>
          <w:szCs w:val="32"/>
        </w:rPr>
      </w:pPr>
    </w:p>
    <w:p w14:paraId="110E46D7">
      <w:pPr>
        <w:pStyle w:val="17"/>
        <w:rPr>
          <w:rFonts w:ascii="黑体" w:eastAsia="黑体"/>
          <w:color w:val="000000"/>
          <w:sz w:val="32"/>
          <w:szCs w:val="32"/>
        </w:rPr>
      </w:pPr>
    </w:p>
    <w:p w14:paraId="7C0A21B9">
      <w:pPr>
        <w:pStyle w:val="17"/>
        <w:rPr>
          <w:rFonts w:ascii="黑体" w:eastAsia="黑体"/>
          <w:color w:val="000000"/>
          <w:sz w:val="32"/>
          <w:szCs w:val="32"/>
        </w:rPr>
      </w:pPr>
    </w:p>
    <w:p w14:paraId="71063EEF">
      <w:pPr>
        <w:pStyle w:val="17"/>
        <w:rPr>
          <w:rFonts w:ascii="黑体" w:eastAsia="黑体"/>
          <w:color w:val="000000"/>
          <w:sz w:val="32"/>
          <w:szCs w:val="32"/>
        </w:rPr>
      </w:pPr>
    </w:p>
    <w:p w14:paraId="597DE80A">
      <w:pPr>
        <w:pStyle w:val="17"/>
        <w:rPr>
          <w:rFonts w:ascii="黑体" w:eastAsia="黑体"/>
          <w:color w:val="000000"/>
          <w:sz w:val="32"/>
          <w:szCs w:val="32"/>
        </w:rPr>
      </w:pPr>
    </w:p>
    <w:p w14:paraId="3BB25E46">
      <w:pPr>
        <w:pStyle w:val="17"/>
        <w:rPr>
          <w:rFonts w:ascii="黑体" w:eastAsia="黑体"/>
          <w:color w:val="000000"/>
          <w:sz w:val="32"/>
          <w:szCs w:val="32"/>
        </w:rPr>
      </w:pPr>
    </w:p>
    <w:p w14:paraId="4CA8BD00">
      <w:pPr>
        <w:pStyle w:val="17"/>
        <w:rPr>
          <w:rFonts w:ascii="黑体" w:eastAsia="黑体"/>
          <w:color w:val="000000"/>
          <w:sz w:val="32"/>
          <w:szCs w:val="32"/>
        </w:rPr>
      </w:pPr>
    </w:p>
    <w:p w14:paraId="4F96BD4A">
      <w:pPr>
        <w:pStyle w:val="17"/>
        <w:rPr>
          <w:rFonts w:ascii="黑体" w:eastAsia="黑体"/>
          <w:color w:val="000000"/>
          <w:sz w:val="32"/>
          <w:szCs w:val="32"/>
        </w:rPr>
      </w:pPr>
    </w:p>
    <w:p w14:paraId="6BEB61B8">
      <w:pPr>
        <w:pStyle w:val="17"/>
        <w:rPr>
          <w:rFonts w:ascii="黑体" w:eastAsia="黑体"/>
          <w:color w:val="000000"/>
          <w:sz w:val="32"/>
          <w:szCs w:val="32"/>
        </w:rPr>
      </w:pPr>
    </w:p>
    <w:p w14:paraId="7FEF142D">
      <w:pPr>
        <w:pStyle w:val="17"/>
        <w:rPr>
          <w:rFonts w:ascii="黑体" w:eastAsia="黑体"/>
          <w:color w:val="000000"/>
          <w:sz w:val="32"/>
          <w:szCs w:val="32"/>
        </w:rPr>
      </w:pPr>
    </w:p>
    <w:p w14:paraId="739FD7ED">
      <w:pPr>
        <w:pStyle w:val="17"/>
        <w:rPr>
          <w:rFonts w:ascii="黑体" w:eastAsia="黑体"/>
          <w:color w:val="000000"/>
          <w:sz w:val="32"/>
          <w:szCs w:val="32"/>
        </w:rPr>
      </w:pPr>
    </w:p>
    <w:p w14:paraId="6C72004C">
      <w:pPr>
        <w:pStyle w:val="17"/>
        <w:rPr>
          <w:rFonts w:ascii="黑体" w:eastAsia="黑体"/>
          <w:color w:val="000000"/>
          <w:sz w:val="32"/>
          <w:szCs w:val="32"/>
        </w:rPr>
      </w:pPr>
    </w:p>
    <w:p w14:paraId="6EBB3F08">
      <w:pPr>
        <w:pStyle w:val="17"/>
        <w:rPr>
          <w:rFonts w:ascii="黑体" w:eastAsia="黑体"/>
          <w:color w:val="000000"/>
          <w:sz w:val="32"/>
          <w:szCs w:val="32"/>
        </w:rPr>
      </w:pPr>
    </w:p>
    <w:p w14:paraId="5049BE43">
      <w:pPr>
        <w:pStyle w:val="17"/>
        <w:rPr>
          <w:rFonts w:ascii="黑体" w:eastAsia="黑体"/>
          <w:color w:val="000000"/>
          <w:sz w:val="32"/>
          <w:szCs w:val="32"/>
        </w:rPr>
      </w:pPr>
    </w:p>
    <w:p w14:paraId="45908D0B">
      <w:pPr>
        <w:pStyle w:val="17"/>
        <w:rPr>
          <w:rFonts w:ascii="黑体" w:eastAsia="黑体"/>
          <w:color w:val="000000"/>
          <w:sz w:val="32"/>
          <w:szCs w:val="32"/>
        </w:rPr>
      </w:pPr>
    </w:p>
    <w:p w14:paraId="5E85ED53">
      <w:pPr>
        <w:pStyle w:val="17"/>
        <w:rPr>
          <w:rFonts w:ascii="黑体" w:eastAsia="黑体"/>
          <w:color w:val="000000"/>
          <w:sz w:val="32"/>
          <w:szCs w:val="32"/>
        </w:rPr>
      </w:pPr>
    </w:p>
    <w:p w14:paraId="0764610C">
      <w:pPr>
        <w:pStyle w:val="17"/>
        <w:rPr>
          <w:rFonts w:ascii="黑体" w:eastAsia="黑体"/>
          <w:color w:val="000000"/>
          <w:sz w:val="32"/>
          <w:szCs w:val="32"/>
        </w:rPr>
      </w:pPr>
    </w:p>
    <w:p w14:paraId="2252B45B">
      <w:pPr>
        <w:pStyle w:val="17"/>
        <w:rPr>
          <w:rFonts w:ascii="黑体" w:eastAsia="黑体"/>
          <w:color w:val="000000"/>
          <w:sz w:val="32"/>
          <w:szCs w:val="32"/>
        </w:rPr>
      </w:pPr>
    </w:p>
    <w:p w14:paraId="224E1CC0">
      <w:pPr>
        <w:pStyle w:val="17"/>
        <w:rPr>
          <w:rFonts w:ascii="黑体" w:eastAsia="黑体"/>
          <w:color w:val="000000"/>
          <w:sz w:val="32"/>
          <w:szCs w:val="32"/>
        </w:rPr>
      </w:pPr>
    </w:p>
    <w:p w14:paraId="1057C2D8">
      <w:pPr>
        <w:pStyle w:val="17"/>
        <w:rPr>
          <w:rFonts w:ascii="黑体" w:eastAsia="黑体"/>
          <w:color w:val="000000"/>
          <w:sz w:val="32"/>
          <w:szCs w:val="32"/>
        </w:rPr>
      </w:pPr>
    </w:p>
    <w:p w14:paraId="32E61968">
      <w:pPr>
        <w:pStyle w:val="17"/>
        <w:rPr>
          <w:rFonts w:ascii="黑体" w:eastAsia="黑体"/>
          <w:color w:val="000000"/>
          <w:sz w:val="32"/>
          <w:szCs w:val="32"/>
        </w:rPr>
      </w:pPr>
    </w:p>
    <w:p w14:paraId="2BD4CD48">
      <w:pPr>
        <w:pStyle w:val="17"/>
        <w:rPr>
          <w:rFonts w:ascii="黑体" w:eastAsia="黑体"/>
          <w:color w:val="000000"/>
          <w:sz w:val="32"/>
          <w:szCs w:val="32"/>
        </w:rPr>
      </w:pPr>
    </w:p>
    <w:p w14:paraId="0BDC105F">
      <w:pPr>
        <w:pStyle w:val="17"/>
        <w:rPr>
          <w:rFonts w:ascii="黑体" w:eastAsia="黑体"/>
          <w:color w:val="000000"/>
          <w:sz w:val="32"/>
          <w:szCs w:val="32"/>
        </w:rPr>
      </w:pPr>
    </w:p>
    <w:p w14:paraId="4AB9CF14">
      <w:pPr>
        <w:pStyle w:val="17"/>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17"/>
        <w:rPr>
          <w:rFonts w:ascii="黑体" w:eastAsia="黑体"/>
          <w:color w:val="000000"/>
          <w:sz w:val="32"/>
          <w:szCs w:val="32"/>
        </w:rPr>
      </w:pPr>
    </w:p>
    <w:p w14:paraId="1FC6E2FA">
      <w:pPr>
        <w:pStyle w:val="17"/>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4"/>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4"/>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4"/>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17"/>
      </w:pPr>
    </w:p>
    <w:p w14:paraId="6DB6DA74">
      <w:pPr>
        <w:pStyle w:val="17"/>
      </w:pPr>
    </w:p>
    <w:p w14:paraId="272D2A7D">
      <w:pPr>
        <w:pStyle w:val="17"/>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4"/>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4"/>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4"/>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D6F420FC"/>
    <w:multiLevelType w:val="singleLevel"/>
    <w:tmpl w:val="D6F420FC"/>
    <w:lvl w:ilvl="0" w:tentative="0">
      <w:start w:val="1"/>
      <w:numFmt w:val="decimal"/>
      <w:suff w:val="nothing"/>
      <w:lvlText w:val="%1、"/>
      <w:lvlJc w:val="left"/>
    </w:lvl>
  </w:abstractNum>
  <w:abstractNum w:abstractNumId="5">
    <w:nsid w:val="F5F59E80"/>
    <w:multiLevelType w:val="singleLevel"/>
    <w:tmpl w:val="F5F59E80"/>
    <w:lvl w:ilvl="0" w:tentative="0">
      <w:start w:val="1"/>
      <w:numFmt w:val="decimal"/>
      <w:suff w:val="space"/>
      <w:lvlText w:val="%1."/>
      <w:lvlJc w:val="left"/>
    </w:lvl>
  </w:abstractNum>
  <w:abstractNum w:abstractNumId="6">
    <w:nsid w:val="0402F4EE"/>
    <w:multiLevelType w:val="singleLevel"/>
    <w:tmpl w:val="0402F4EE"/>
    <w:lvl w:ilvl="0" w:tentative="0">
      <w:start w:val="4"/>
      <w:numFmt w:val="decimal"/>
      <w:lvlText w:val="%1."/>
      <w:lvlJc w:val="left"/>
      <w:pPr>
        <w:tabs>
          <w:tab w:val="left" w:pos="312"/>
        </w:tabs>
      </w:pPr>
    </w:lvl>
  </w:abstractNum>
  <w:abstractNum w:abstractNumId="7">
    <w:nsid w:val="3636DBDA"/>
    <w:multiLevelType w:val="singleLevel"/>
    <w:tmpl w:val="3636DBDA"/>
    <w:lvl w:ilvl="0" w:tentative="0">
      <w:start w:val="1"/>
      <w:numFmt w:val="chineseCounting"/>
      <w:suff w:val="space"/>
      <w:lvlText w:val="第%1章"/>
      <w:lvlJc w:val="left"/>
      <w:rPr>
        <w:rFonts w:hint="eastAsia"/>
      </w:r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7"/>
  </w:num>
  <w:num w:numId="2">
    <w:abstractNumId w:val="8"/>
  </w:num>
  <w:num w:numId="3">
    <w:abstractNumId w:val="3"/>
  </w:num>
  <w:num w:numId="4">
    <w:abstractNumId w:val="2"/>
  </w:num>
  <w:num w:numId="5">
    <w:abstractNumId w:val="6"/>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3C05FE9"/>
    <w:rsid w:val="041C0681"/>
    <w:rsid w:val="045C4934"/>
    <w:rsid w:val="068405DB"/>
    <w:rsid w:val="06AB0CBE"/>
    <w:rsid w:val="07115D57"/>
    <w:rsid w:val="07480850"/>
    <w:rsid w:val="07A779E9"/>
    <w:rsid w:val="0831446C"/>
    <w:rsid w:val="08492771"/>
    <w:rsid w:val="08B25A56"/>
    <w:rsid w:val="091E4C98"/>
    <w:rsid w:val="09624C7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B0A7B44"/>
    <w:rsid w:val="2CC10CAE"/>
    <w:rsid w:val="2E45084A"/>
    <w:rsid w:val="2ED21247"/>
    <w:rsid w:val="2F632DBF"/>
    <w:rsid w:val="30217C48"/>
    <w:rsid w:val="311B0235"/>
    <w:rsid w:val="31384F13"/>
    <w:rsid w:val="31827FC3"/>
    <w:rsid w:val="32367AE2"/>
    <w:rsid w:val="33F956F6"/>
    <w:rsid w:val="349F401F"/>
    <w:rsid w:val="35235DD9"/>
    <w:rsid w:val="355D343E"/>
    <w:rsid w:val="35803DCD"/>
    <w:rsid w:val="358D0D69"/>
    <w:rsid w:val="359022EB"/>
    <w:rsid w:val="384A7AD5"/>
    <w:rsid w:val="38C51B49"/>
    <w:rsid w:val="3A3A4AA9"/>
    <w:rsid w:val="3AD243FA"/>
    <w:rsid w:val="3B1111E4"/>
    <w:rsid w:val="3B2A4846"/>
    <w:rsid w:val="3B5373B6"/>
    <w:rsid w:val="3B677688"/>
    <w:rsid w:val="3BBC4BF4"/>
    <w:rsid w:val="3C8F1C55"/>
    <w:rsid w:val="3CCF593D"/>
    <w:rsid w:val="3DA0606C"/>
    <w:rsid w:val="3DEC493C"/>
    <w:rsid w:val="3EC01209"/>
    <w:rsid w:val="3EC24AA3"/>
    <w:rsid w:val="3EDC78BB"/>
    <w:rsid w:val="3EEB7664"/>
    <w:rsid w:val="40002E6F"/>
    <w:rsid w:val="435D287E"/>
    <w:rsid w:val="44504B88"/>
    <w:rsid w:val="44B67130"/>
    <w:rsid w:val="456841B6"/>
    <w:rsid w:val="457B6881"/>
    <w:rsid w:val="45AE6BDE"/>
    <w:rsid w:val="4656733B"/>
    <w:rsid w:val="46710830"/>
    <w:rsid w:val="46BB2C0A"/>
    <w:rsid w:val="46EF3D57"/>
    <w:rsid w:val="47552A75"/>
    <w:rsid w:val="486D7AF7"/>
    <w:rsid w:val="493C56B1"/>
    <w:rsid w:val="494804BB"/>
    <w:rsid w:val="495A2A50"/>
    <w:rsid w:val="49664CB2"/>
    <w:rsid w:val="4A2A20B9"/>
    <w:rsid w:val="4B4638AD"/>
    <w:rsid w:val="4B70660F"/>
    <w:rsid w:val="4B7C13C2"/>
    <w:rsid w:val="4B9C1C97"/>
    <w:rsid w:val="4BC500AA"/>
    <w:rsid w:val="4C1C5AD5"/>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EF54A58"/>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9"/>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ind w:firstLine="540" w:firstLineChars="225"/>
    </w:pPr>
    <w:rPr>
      <w:kern w:val="0"/>
      <w:sz w:val="24"/>
      <w:szCs w:val="20"/>
    </w:rPr>
  </w:style>
  <w:style w:type="paragraph" w:styleId="10">
    <w:name w:val="Normal (Web)"/>
    <w:basedOn w:val="1"/>
    <w:autoRedefine/>
    <w:qFormat/>
    <w:uiPriority w:val="0"/>
    <w:pPr>
      <w:spacing w:line="432" w:lineRule="auto"/>
      <w:jc w:val="left"/>
    </w:pPr>
    <w:rPr>
      <w:rFonts w:cs="Times New Roman"/>
      <w:kern w:val="0"/>
      <w:sz w:val="24"/>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autoRedefine/>
    <w:qFormat/>
    <w:uiPriority w:val="0"/>
    <w:rPr>
      <w:color w:val="444444"/>
      <w:sz w:val="21"/>
      <w:szCs w:val="21"/>
      <w:u w:val="none"/>
    </w:rPr>
  </w:style>
  <w:style w:type="character" w:styleId="15">
    <w:name w:val="Hyperlink"/>
    <w:basedOn w:val="13"/>
    <w:autoRedefine/>
    <w:semiHidden/>
    <w:unhideWhenUsed/>
    <w:qFormat/>
    <w:uiPriority w:val="99"/>
    <w:rPr>
      <w:rFonts w:ascii="微软雅黑" w:hAnsi="微软雅黑" w:eastAsia="微软雅黑" w:cs="微软雅黑"/>
      <w:color w:val="02396F"/>
      <w:u w:val="single"/>
    </w:rPr>
  </w:style>
  <w:style w:type="character" w:styleId="16">
    <w:name w:val="annotation reference"/>
    <w:basedOn w:val="13"/>
    <w:autoRedefine/>
    <w:qFormat/>
    <w:uiPriority w:val="0"/>
    <w:rPr>
      <w:sz w:val="21"/>
      <w:szCs w:val="21"/>
    </w:rPr>
  </w:style>
  <w:style w:type="paragraph" w:customStyle="1" w:styleId="17">
    <w:name w:val="无间隔1"/>
    <w:basedOn w:val="1"/>
    <w:autoRedefine/>
    <w:qFormat/>
    <w:uiPriority w:val="1"/>
    <w:pPr>
      <w:spacing w:line="400" w:lineRule="exact"/>
    </w:pPr>
    <w:rPr>
      <w:rFonts w:eastAsia="宋体"/>
      <w:sz w:val="24"/>
    </w:rPr>
  </w:style>
  <w:style w:type="paragraph" w:customStyle="1" w:styleId="18">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9">
    <w:name w:val="页脚 字符"/>
    <w:basedOn w:val="13"/>
    <w:link w:val="7"/>
    <w:autoRedefine/>
    <w:qFormat/>
    <w:uiPriority w:val="0"/>
    <w:rPr>
      <w:rFonts w:asciiTheme="minorHAnsi" w:hAnsiTheme="minorHAnsi" w:eastAsiaTheme="minorEastAsia" w:cstheme="minorBidi"/>
      <w:kern w:val="2"/>
      <w:sz w:val="18"/>
      <w:szCs w:val="18"/>
    </w:rPr>
  </w:style>
  <w:style w:type="paragraph" w:styleId="20">
    <w:name w:val="List Paragraph"/>
    <w:basedOn w:val="1"/>
    <w:autoRedefine/>
    <w:qFormat/>
    <w:uiPriority w:val="99"/>
    <w:pPr>
      <w:ind w:firstLine="420" w:firstLineChars="200"/>
    </w:pPr>
  </w:style>
  <w:style w:type="character" w:customStyle="1" w:styleId="21">
    <w:name w:val="hover15"/>
    <w:basedOn w:val="13"/>
    <w:autoRedefine/>
    <w:qFormat/>
    <w:uiPriority w:val="0"/>
  </w:style>
  <w:style w:type="paragraph" w:customStyle="1" w:styleId="22">
    <w:name w:val="无间隔11"/>
    <w:basedOn w:val="1"/>
    <w:autoRedefine/>
    <w:qFormat/>
    <w:uiPriority w:val="1"/>
    <w:pPr>
      <w:spacing w:line="400" w:lineRule="exact"/>
    </w:pPr>
    <w:rPr>
      <w:rFonts w:ascii="Calibri" w:hAnsi="Calibri"/>
      <w:sz w:val="24"/>
      <w:szCs w:val="22"/>
    </w:rPr>
  </w:style>
  <w:style w:type="character" w:customStyle="1" w:styleId="23">
    <w:name w:val="font21"/>
    <w:basedOn w:val="13"/>
    <w:autoRedefine/>
    <w:qFormat/>
    <w:uiPriority w:val="0"/>
    <w:rPr>
      <w:rFonts w:hint="eastAsia" w:ascii="宋体" w:hAnsi="宋体" w:eastAsia="宋体" w:cs="宋体"/>
      <w:color w:val="FF0000"/>
      <w:sz w:val="24"/>
      <w:szCs w:val="24"/>
      <w:u w:val="none"/>
    </w:rPr>
  </w:style>
  <w:style w:type="paragraph" w:customStyle="1" w:styleId="24">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5">
    <w:name w:val="font11"/>
    <w:basedOn w:val="13"/>
    <w:qFormat/>
    <w:uiPriority w:val="0"/>
    <w:rPr>
      <w:rFonts w:hint="eastAsia" w:ascii="宋体" w:hAnsi="宋体" w:eastAsia="宋体" w:cs="宋体"/>
      <w:color w:val="000000"/>
      <w:sz w:val="22"/>
      <w:szCs w:val="22"/>
      <w:u w:val="none"/>
    </w:rPr>
  </w:style>
  <w:style w:type="character" w:customStyle="1" w:styleId="26">
    <w:name w:val="font41"/>
    <w:basedOn w:val="13"/>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1689</Words>
  <Characters>1832</Characters>
  <Lines>826</Lines>
  <Paragraphs>946</Paragraphs>
  <TotalTime>14</TotalTime>
  <ScaleCrop>false</ScaleCrop>
  <LinksUpToDate>false</LinksUpToDate>
  <CharactersWithSpaces>1895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2025-12-09T02:10:43Z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