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3ED1BB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合理用药软件系统升级服务</w:t>
      </w:r>
    </w:p>
    <w:p w14:paraId="680A194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2025年9月10日</w:t>
      </w:r>
    </w:p>
    <w:p w14:paraId="1FCBB190">
      <w:pPr>
        <w:pStyle w:val="16"/>
        <w:rPr>
          <w:rFonts w:hint="eastAsia"/>
          <w:lang w:val="en-US" w:eastAsia="zh-CN"/>
        </w:rPr>
      </w:pPr>
    </w:p>
    <w:p w14:paraId="1768B18C">
      <w:pPr>
        <w:pStyle w:val="16"/>
        <w:rPr>
          <w:rFonts w:hint="eastAsia"/>
          <w:lang w:val="en-US" w:eastAsia="zh-CN"/>
        </w:rPr>
      </w:pPr>
    </w:p>
    <w:p w14:paraId="299ECC37">
      <w:pPr>
        <w:pStyle w:val="16"/>
        <w:rPr>
          <w:rFonts w:hint="eastAsia"/>
          <w:lang w:val="en-US" w:eastAsia="zh-CN"/>
        </w:rPr>
      </w:pPr>
      <w:r>
        <w:rPr>
          <w:rFonts w:hint="eastAsia"/>
          <w:lang w:val="en-US" w:eastAsia="zh-CN"/>
        </w:rPr>
        <w:t>科室确认：</w:t>
      </w:r>
    </w:p>
    <w:p w14:paraId="7BD17DB1">
      <w:pPr>
        <w:pStyle w:val="16"/>
        <w:rPr>
          <w:rFonts w:hint="eastAsia" w:ascii="黑体" w:hAnsi="黑体" w:eastAsia="黑体" w:cs="黑体"/>
          <w:sz w:val="32"/>
          <w:szCs w:val="32"/>
          <w:lang w:val="en-US" w:eastAsia="zh-CN"/>
        </w:rPr>
      </w:pPr>
    </w:p>
    <w:p w14:paraId="46FBA6C9">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合理用药软件系统升级服务采购项目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合理用药软件系统升级服务采购项目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2"/>
        <w:ind w:firstLine="640" w:firstLineChars="200"/>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对我院合理用药软件系统进行升级，详细要求见附件2。</w:t>
      </w:r>
    </w:p>
    <w:p w14:paraId="46EED429">
      <w:pPr>
        <w:pStyle w:val="22"/>
        <w:ind w:firstLine="640" w:firstLineChars="200"/>
        <w:rPr>
          <w:rFonts w:hint="default" w:ascii="黑体" w:eastAsia="黑体"/>
          <w:sz w:val="32"/>
          <w:szCs w:val="32"/>
          <w:lang w:val="en-US" w:eastAsia="zh-CN"/>
        </w:rPr>
      </w:pPr>
      <w:r>
        <w:rPr>
          <w:rFonts w:hint="eastAsia" w:ascii="黑体" w:eastAsia="黑体"/>
          <w:sz w:val="32"/>
          <w:szCs w:val="32"/>
          <w:lang w:val="en-US" w:eastAsia="zh-CN"/>
        </w:rPr>
        <w:t xml:space="preserve"> 项目预算：</w:t>
      </w:r>
      <w:r>
        <w:rPr>
          <w:rFonts w:hint="eastAsia" w:ascii="仿宋_GB2312" w:eastAsia="仿宋_GB2312" w:hAnsiTheme="minorHAnsi" w:cstheme="minorBidi"/>
          <w:kern w:val="2"/>
          <w:sz w:val="32"/>
          <w:szCs w:val="32"/>
          <w:lang w:val="en-US" w:eastAsia="zh-CN" w:bidi="ar-SA"/>
        </w:rPr>
        <w:t>58000元整</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具有合法的经营资质，具有承担本项目的能力</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7A8AD312">
      <w:pPr>
        <w:pStyle w:val="16"/>
        <w:rPr>
          <w:rFonts w:hint="default" w:ascii="仿宋_GB2312" w:eastAsia="仿宋_GB2312"/>
          <w:b/>
          <w:sz w:val="32"/>
          <w:szCs w:val="32"/>
        </w:rPr>
      </w:pPr>
    </w:p>
    <w:p w14:paraId="193B429C">
      <w:pPr>
        <w:pStyle w:val="16"/>
        <w:rPr>
          <w:rFonts w:hint="default" w:ascii="仿宋_GB2312" w:eastAsia="仿宋_GB2312"/>
          <w:b/>
          <w:sz w:val="32"/>
          <w:szCs w:val="32"/>
        </w:rPr>
      </w:pPr>
    </w:p>
    <w:p w14:paraId="4D4333B9">
      <w:pPr>
        <w:pStyle w:val="16"/>
        <w:rPr>
          <w:rFonts w:hint="default" w:ascii="仿宋_GB2312" w:eastAsia="仿宋_GB2312"/>
          <w:b/>
          <w:sz w:val="32"/>
          <w:szCs w:val="32"/>
        </w:rPr>
      </w:pPr>
    </w:p>
    <w:p w14:paraId="3000AC26">
      <w:pPr>
        <w:pStyle w:val="16"/>
        <w:rPr>
          <w:rFonts w:hint="default" w:ascii="仿宋_GB2312" w:eastAsia="仿宋_GB2312"/>
          <w:b/>
          <w:sz w:val="32"/>
          <w:szCs w:val="32"/>
        </w:rPr>
      </w:pPr>
    </w:p>
    <w:p w14:paraId="4ADB7FA5">
      <w:pPr>
        <w:pStyle w:val="16"/>
        <w:rPr>
          <w:rFonts w:hint="default" w:ascii="仿宋_GB2312" w:eastAsia="仿宋_GB2312"/>
          <w:b/>
          <w:sz w:val="32"/>
          <w:szCs w:val="32"/>
        </w:rPr>
      </w:pPr>
    </w:p>
    <w:p w14:paraId="3FAFEAC8">
      <w:pPr>
        <w:pStyle w:val="16"/>
        <w:rPr>
          <w:rFonts w:hint="default" w:ascii="仿宋_GB2312" w:eastAsia="仿宋_GB2312"/>
          <w:b/>
          <w:sz w:val="32"/>
          <w:szCs w:val="32"/>
        </w:rPr>
      </w:pPr>
      <w:bookmarkStart w:id="15" w:name="_GoBack"/>
      <w:bookmarkEnd w:id="15"/>
    </w:p>
    <w:p w14:paraId="41E1B6E3">
      <w:pPr>
        <w:pStyle w:val="16"/>
        <w:rPr>
          <w:rFonts w:hint="default" w:ascii="仿宋_GB2312" w:eastAsia="仿宋_GB2312"/>
          <w:b/>
          <w:sz w:val="32"/>
          <w:szCs w:val="32"/>
        </w:rPr>
      </w:pPr>
    </w:p>
    <w:p w14:paraId="1EA461FA">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699BA80">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2F40A21">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678"/>
        <w:gridCol w:w="5844"/>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5" w:type="dxa"/>
            <w:vAlign w:val="center"/>
          </w:tcPr>
          <w:p w14:paraId="61635B88">
            <w:pPr>
              <w:jc w:val="center"/>
            </w:pPr>
            <w:r>
              <w:rPr>
                <w:rFonts w:hint="eastAsia"/>
              </w:rPr>
              <w:t>条款号</w:t>
            </w:r>
          </w:p>
        </w:tc>
        <w:tc>
          <w:tcPr>
            <w:tcW w:w="2678" w:type="dxa"/>
            <w:vAlign w:val="center"/>
          </w:tcPr>
          <w:p w14:paraId="61A4643F">
            <w:r>
              <w:rPr>
                <w:rFonts w:hint="eastAsia"/>
              </w:rPr>
              <w:t>评审因素</w:t>
            </w:r>
          </w:p>
        </w:tc>
        <w:tc>
          <w:tcPr>
            <w:tcW w:w="5844"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15" w:type="dxa"/>
            <w:vAlign w:val="center"/>
          </w:tcPr>
          <w:p w14:paraId="23A77A2F">
            <w:pPr>
              <w:jc w:val="center"/>
            </w:pPr>
            <w:r>
              <w:rPr>
                <w:rFonts w:hint="eastAsia"/>
              </w:rPr>
              <w:t>1</w:t>
            </w:r>
          </w:p>
        </w:tc>
        <w:tc>
          <w:tcPr>
            <w:tcW w:w="2678" w:type="dxa"/>
            <w:vAlign w:val="center"/>
          </w:tcPr>
          <w:p w14:paraId="6A355A59">
            <w:r>
              <w:rPr>
                <w:rFonts w:hint="eastAsia"/>
              </w:rPr>
              <w:t>分值构成</w:t>
            </w:r>
          </w:p>
          <w:p w14:paraId="6D526734">
            <w:r>
              <w:rPr>
                <w:rFonts w:hint="eastAsia"/>
              </w:rPr>
              <w:t>(总分100分)</w:t>
            </w:r>
          </w:p>
        </w:tc>
        <w:tc>
          <w:tcPr>
            <w:tcW w:w="5844" w:type="dxa"/>
            <w:vAlign w:val="center"/>
          </w:tcPr>
          <w:p w14:paraId="4134B940">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037B5F25">
            <w:r>
              <w:rPr>
                <w:rFonts w:hint="eastAsia"/>
                <w:lang w:val="en-US" w:eastAsia="zh-CN"/>
              </w:rPr>
              <w:t>技术</w:t>
            </w:r>
            <w:r>
              <w:rPr>
                <w:rFonts w:hint="eastAsia"/>
              </w:rPr>
              <w:t>部分：</w:t>
            </w:r>
            <w:r>
              <w:rPr>
                <w:rFonts w:hint="eastAsia"/>
                <w:u w:val="single"/>
              </w:rPr>
              <w:t xml:space="preserve"> </w:t>
            </w:r>
            <w:r>
              <w:rPr>
                <w:rFonts w:hint="eastAsia"/>
                <w:u w:val="single"/>
                <w:lang w:val="en-US" w:eastAsia="zh-CN"/>
              </w:rPr>
              <w:t>4</w:t>
            </w:r>
            <w:r>
              <w:rPr>
                <w:rFonts w:hint="eastAsia"/>
                <w:u w:val="single"/>
              </w:rPr>
              <w:t xml:space="preserve">0 </w:t>
            </w:r>
            <w:r>
              <w:rPr>
                <w:rFonts w:hint="eastAsia"/>
              </w:rPr>
              <w:t>分</w:t>
            </w:r>
          </w:p>
          <w:p w14:paraId="5BC705A2">
            <w:r>
              <w:rPr>
                <w:rFonts w:hint="eastAsia"/>
                <w:lang w:val="en-US" w:eastAsia="zh-CN"/>
              </w:rPr>
              <w:t>商务部分</w:t>
            </w:r>
            <w:r>
              <w:rPr>
                <w:rFonts w:hint="eastAsia"/>
              </w:rPr>
              <w:t>：</w:t>
            </w:r>
            <w:r>
              <w:rPr>
                <w:rFonts w:hint="eastAsia"/>
                <w:u w:val="single"/>
                <w:lang w:val="en-US" w:eastAsia="zh-CN"/>
              </w:rPr>
              <w:t xml:space="preserve"> 3</w:t>
            </w:r>
            <w:r>
              <w:rPr>
                <w:rFonts w:hint="eastAsia"/>
                <w:u w:val="single"/>
              </w:rPr>
              <w:t xml:space="preserve">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215" w:type="dxa"/>
            <w:vAlign w:val="center"/>
          </w:tcPr>
          <w:p w14:paraId="1D338212">
            <w:pPr>
              <w:jc w:val="center"/>
            </w:pPr>
            <w:r>
              <w:rPr>
                <w:rFonts w:hint="eastAsia"/>
              </w:rPr>
              <w:t>1.(1)</w:t>
            </w:r>
          </w:p>
        </w:tc>
        <w:tc>
          <w:tcPr>
            <w:tcW w:w="2678"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844"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15" w:type="dxa"/>
            <w:vAlign w:val="center"/>
          </w:tcPr>
          <w:p w14:paraId="23C86260">
            <w:pPr>
              <w:jc w:val="center"/>
            </w:pPr>
            <w:r>
              <w:rPr>
                <w:rFonts w:hint="eastAsia"/>
              </w:rPr>
              <w:t>1.(2)</w:t>
            </w:r>
          </w:p>
        </w:tc>
        <w:tc>
          <w:tcPr>
            <w:tcW w:w="2678" w:type="dxa"/>
            <w:vAlign w:val="center"/>
          </w:tcPr>
          <w:p w14:paraId="77821C48">
            <w:r>
              <w:rPr>
                <w:rFonts w:hint="eastAsia"/>
                <w:lang w:eastAsia="zh-CN"/>
              </w:rPr>
              <w:t>技术部分</w:t>
            </w:r>
            <w:r>
              <w:rPr>
                <w:rFonts w:hint="eastAsia"/>
              </w:rPr>
              <w:t>（</w:t>
            </w:r>
            <w:r>
              <w:rPr>
                <w:rFonts w:hint="eastAsia"/>
                <w:lang w:val="en-US" w:eastAsia="zh-CN"/>
              </w:rPr>
              <w:t>40</w:t>
            </w:r>
            <w:r>
              <w:rPr>
                <w:rFonts w:hint="eastAsia"/>
              </w:rPr>
              <w:t>分）</w:t>
            </w:r>
          </w:p>
        </w:tc>
        <w:tc>
          <w:tcPr>
            <w:tcW w:w="5844" w:type="dxa"/>
            <w:vAlign w:val="center"/>
          </w:tcPr>
          <w:p w14:paraId="2ECACE75">
            <w:pPr>
              <w:numPr>
                <w:ilvl w:val="0"/>
                <w:numId w:val="7"/>
              </w:numPr>
              <w:rPr>
                <w:rFonts w:hint="eastAsia" w:ascii="宋体" w:hAnsi="宋体" w:eastAsia="宋体" w:cs="宋体"/>
                <w:szCs w:val="21"/>
              </w:rPr>
            </w:pPr>
            <w:r>
              <w:rPr>
                <w:rFonts w:hint="eastAsia" w:ascii="宋体" w:hAnsi="宋体" w:eastAsia="宋体" w:cs="宋体"/>
                <w:szCs w:val="21"/>
                <w:lang w:val="en-US" w:eastAsia="zh-CN"/>
              </w:rPr>
              <w:t>升级方案（10分）根据测试方案对整体项目的理解程度、对内容需求分析的完整、正确程度、对质量特性测试方法贴合需求的程度、对工作流程的清晰程度以及设备配备是否充足、人员等方案在0-10分范围内打分</w:t>
            </w:r>
          </w:p>
          <w:p w14:paraId="3E571269">
            <w:pPr>
              <w:numPr>
                <w:ilvl w:val="0"/>
                <w:numId w:val="7"/>
              </w:numPr>
              <w:rPr>
                <w:rFonts w:hint="eastAsia" w:ascii="宋体" w:hAnsi="宋体" w:eastAsia="宋体" w:cs="宋体"/>
                <w:szCs w:val="21"/>
              </w:rPr>
            </w:pPr>
            <w:r>
              <w:rPr>
                <w:rFonts w:hint="eastAsia" w:ascii="宋体" w:hAnsi="宋体" w:eastAsia="宋体" w:cs="宋体"/>
                <w:szCs w:val="21"/>
                <w:lang w:val="en-US" w:eastAsia="zh-CN"/>
              </w:rPr>
              <w:t>质量保证（10分）根据对本项目提供的质量保证在0-10分范围内打分</w:t>
            </w:r>
          </w:p>
          <w:p w14:paraId="7112B990">
            <w:pPr>
              <w:numPr>
                <w:ilvl w:val="0"/>
                <w:numId w:val="7"/>
              </w:numPr>
              <w:rPr>
                <w:rFonts w:hint="eastAsia" w:ascii="宋体" w:hAnsi="宋体" w:eastAsia="宋体" w:cs="宋体"/>
                <w:szCs w:val="21"/>
              </w:rPr>
            </w:pPr>
            <w:r>
              <w:rPr>
                <w:rFonts w:hint="eastAsia" w:ascii="宋体" w:hAnsi="宋体" w:eastAsia="宋体" w:cs="宋体"/>
                <w:szCs w:val="21"/>
                <w:lang w:val="en-US" w:eastAsia="zh-CN"/>
              </w:rPr>
              <w:t>风险管理于进度管理（10分）根据对风险的评估与应变策略以及保密措施等在0-10分范围内打分。</w:t>
            </w:r>
          </w:p>
          <w:p w14:paraId="1A01A67F">
            <w:pPr>
              <w:numPr>
                <w:ilvl w:val="0"/>
                <w:numId w:val="7"/>
              </w:numPr>
              <w:rPr>
                <w:rFonts w:hint="eastAsia" w:ascii="宋体" w:hAnsi="宋体" w:eastAsia="宋体" w:cs="宋体"/>
                <w:szCs w:val="21"/>
              </w:rPr>
            </w:pPr>
            <w:r>
              <w:rPr>
                <w:rFonts w:hint="eastAsia" w:ascii="宋体" w:hAnsi="宋体" w:eastAsia="宋体" w:cs="宋体"/>
                <w:szCs w:val="21"/>
                <w:lang w:val="en-US" w:eastAsia="zh-CN"/>
              </w:rPr>
              <w:t>配置管理以及进度管理（10分）根据对本项目的配置管理以及进度管理在0-10分范围内打分。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15" w:type="dxa"/>
            <w:vAlign w:val="center"/>
          </w:tcPr>
          <w:p w14:paraId="38EA612C">
            <w:r>
              <w:rPr>
                <w:rFonts w:hint="eastAsia"/>
              </w:rPr>
              <w:t>1.(3)</w:t>
            </w:r>
          </w:p>
        </w:tc>
        <w:tc>
          <w:tcPr>
            <w:tcW w:w="2678" w:type="dxa"/>
            <w:vAlign w:val="center"/>
          </w:tcPr>
          <w:p w14:paraId="60C9B67A">
            <w:r>
              <w:rPr>
                <w:rFonts w:hint="eastAsia" w:ascii="宋体" w:hAnsi="宋体" w:eastAsia="宋体" w:cs="宋体"/>
                <w:szCs w:val="21"/>
              </w:rPr>
              <w:t>商务部分（</w:t>
            </w:r>
            <w:r>
              <w:rPr>
                <w:rFonts w:hint="eastAsia" w:ascii="宋体" w:hAnsi="宋体" w:eastAsia="宋体" w:cs="宋体"/>
                <w:szCs w:val="21"/>
                <w:lang w:val="en-US" w:eastAsia="zh-CN"/>
              </w:rPr>
              <w:t>3</w:t>
            </w:r>
            <w:r>
              <w:rPr>
                <w:rFonts w:hint="eastAsia" w:ascii="宋体" w:hAnsi="宋体" w:eastAsia="宋体" w:cs="宋体"/>
                <w:szCs w:val="21"/>
              </w:rPr>
              <w:t>0分）</w:t>
            </w:r>
          </w:p>
        </w:tc>
        <w:tc>
          <w:tcPr>
            <w:tcW w:w="5844" w:type="dxa"/>
            <w:vAlign w:val="center"/>
          </w:tcPr>
          <w:p w14:paraId="4C5ED7D6">
            <w:pPr>
              <w:numPr>
                <w:ilvl w:val="0"/>
                <w:numId w:val="8"/>
              </w:numPr>
              <w:spacing w:line="360" w:lineRule="auto"/>
              <w:jc w:val="left"/>
              <w:rPr>
                <w:rFonts w:hint="eastAsia"/>
              </w:rPr>
            </w:pPr>
            <w:r>
              <w:rPr>
                <w:rFonts w:hint="eastAsia"/>
              </w:rPr>
              <w:t>类似业绩（</w:t>
            </w:r>
            <w:r>
              <w:rPr>
                <w:rFonts w:hint="eastAsia"/>
                <w:lang w:val="en-US" w:eastAsia="zh-CN"/>
              </w:rPr>
              <w:t>10</w:t>
            </w:r>
            <w:r>
              <w:rPr>
                <w:rFonts w:hint="eastAsia"/>
              </w:rPr>
              <w:t>分）供应商提供自2021年1月1日以来完成的类似业绩，每提供一份得</w:t>
            </w:r>
            <w:r>
              <w:rPr>
                <w:rFonts w:hint="eastAsia"/>
                <w:lang w:val="en-US" w:eastAsia="zh-CN"/>
              </w:rPr>
              <w:t>2</w:t>
            </w:r>
            <w:r>
              <w:rPr>
                <w:rFonts w:hint="eastAsia"/>
              </w:rPr>
              <w:t>分，满分</w:t>
            </w:r>
            <w:r>
              <w:rPr>
                <w:rFonts w:hint="eastAsia"/>
                <w:lang w:val="en-US" w:eastAsia="zh-CN"/>
              </w:rPr>
              <w:t>10</w:t>
            </w:r>
            <w:r>
              <w:rPr>
                <w:rFonts w:hint="eastAsia"/>
              </w:rPr>
              <w:t>分；不提供或未按要求提供不得分。注：提供合同扫描件（以合同签订日期为准，响应文件中附清晰的合同复印件，否则不计分）。</w:t>
            </w:r>
          </w:p>
          <w:p w14:paraId="66BA1C23">
            <w:pPr>
              <w:numPr>
                <w:ilvl w:val="0"/>
                <w:numId w:val="8"/>
              </w:numPr>
              <w:spacing w:line="360" w:lineRule="auto"/>
              <w:jc w:val="left"/>
              <w:rPr>
                <w:rFonts w:hint="eastAsia"/>
                <w:sz w:val="21"/>
                <w:szCs w:val="21"/>
                <w:lang w:val="en-US"/>
              </w:rPr>
            </w:pPr>
            <w:r>
              <w:rPr>
                <w:rFonts w:hint="eastAsia"/>
                <w:sz w:val="21"/>
                <w:szCs w:val="21"/>
                <w:lang w:val="en-US" w:eastAsia="zh-CN"/>
              </w:rPr>
              <w:t>服务承诺（10分）：根据服务承诺在0-10分范围内打分。</w:t>
            </w:r>
          </w:p>
          <w:p w14:paraId="78B41783">
            <w:pPr>
              <w:numPr>
                <w:ilvl w:val="0"/>
                <w:numId w:val="8"/>
              </w:numPr>
              <w:spacing w:line="360" w:lineRule="auto"/>
              <w:jc w:val="left"/>
              <w:rPr>
                <w:rFonts w:hint="eastAsia" w:ascii="宋体" w:hAnsi="宋体" w:eastAsia="宋体" w:cs="宋体"/>
                <w:kern w:val="0"/>
                <w:szCs w:val="21"/>
                <w:lang w:bidi="zh-CN"/>
              </w:rPr>
            </w:pPr>
            <w:r>
              <w:rPr>
                <w:rFonts w:hint="eastAsia"/>
                <w:sz w:val="21"/>
                <w:szCs w:val="21"/>
                <w:lang w:val="en-US" w:eastAsia="zh-CN"/>
              </w:rPr>
              <w:t>供应商实力（10分）：根据人员、设备、资金等在0-10分范围内打分。</w:t>
            </w:r>
          </w:p>
        </w:tc>
      </w:tr>
    </w:tbl>
    <w:p w14:paraId="1ED3E55F">
      <w:pPr>
        <w:rPr>
          <w:rFonts w:ascii="黑体" w:hAnsi="黑体" w:eastAsia="黑体" w:cs="黑体"/>
          <w:sz w:val="32"/>
          <w:szCs w:val="32"/>
        </w:rPr>
      </w:pPr>
      <w:r>
        <w:rPr>
          <w:rFonts w:ascii="黑体" w:hAnsi="黑体" w:eastAsia="黑体" w:cs="黑体"/>
          <w:sz w:val="32"/>
          <w:szCs w:val="32"/>
        </w:rPr>
        <w:br w:type="page"/>
      </w:r>
    </w:p>
    <w:p w14:paraId="4FA977B2">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289992EF">
      <w:pPr>
        <w:pStyle w:val="16"/>
        <w:rPr>
          <w:rFonts w:hint="eastAsia" w:ascii="黑体" w:hAnsi="黑体" w:eastAsia="黑体" w:cs="黑体"/>
          <w:sz w:val="32"/>
          <w:szCs w:val="32"/>
          <w:lang w:eastAsia="zh-CN"/>
        </w:rPr>
      </w:pPr>
    </w:p>
    <w:p w14:paraId="7DCCD9C4">
      <w:pPr>
        <w:pStyle w:val="16"/>
        <w:rPr>
          <w:rFonts w:hint="eastAsia" w:ascii="黑体" w:hAnsi="黑体" w:eastAsia="黑体" w:cs="黑体"/>
          <w:sz w:val="32"/>
          <w:szCs w:val="32"/>
          <w:lang w:eastAsia="zh-CN"/>
        </w:rPr>
      </w:pPr>
    </w:p>
    <w:p w14:paraId="75876535">
      <w:pPr>
        <w:pStyle w:val="16"/>
        <w:rPr>
          <w:rFonts w:hint="eastAsia" w:ascii="黑体" w:hAnsi="黑体" w:eastAsia="黑体" w:cs="黑体"/>
          <w:sz w:val="32"/>
          <w:szCs w:val="32"/>
          <w:lang w:eastAsia="zh-CN"/>
        </w:rPr>
      </w:pPr>
    </w:p>
    <w:p w14:paraId="2A020CB3">
      <w:pPr>
        <w:pStyle w:val="16"/>
        <w:rPr>
          <w:rFonts w:hint="eastAsia" w:ascii="黑体" w:hAnsi="黑体" w:eastAsia="黑体" w:cs="黑体"/>
          <w:sz w:val="32"/>
          <w:szCs w:val="32"/>
          <w:lang w:eastAsia="zh-CN"/>
        </w:rPr>
      </w:pPr>
    </w:p>
    <w:p w14:paraId="4E03CE16">
      <w:pPr>
        <w:pStyle w:val="16"/>
        <w:rPr>
          <w:rFonts w:hint="eastAsia" w:ascii="黑体" w:hAnsi="黑体" w:eastAsia="黑体" w:cs="黑体"/>
          <w:sz w:val="32"/>
          <w:szCs w:val="32"/>
          <w:lang w:eastAsia="zh-CN"/>
        </w:rPr>
      </w:pPr>
    </w:p>
    <w:p w14:paraId="41D96DEF">
      <w:pPr>
        <w:pStyle w:val="16"/>
        <w:rPr>
          <w:rFonts w:hint="eastAsia" w:ascii="黑体" w:hAnsi="黑体" w:eastAsia="黑体" w:cs="黑体"/>
          <w:sz w:val="32"/>
          <w:szCs w:val="32"/>
          <w:lang w:eastAsia="zh-CN"/>
        </w:rPr>
      </w:pPr>
    </w:p>
    <w:p w14:paraId="11DF4F49">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15ACCDA4">
      <w:pPr>
        <w:rPr>
          <w:rFonts w:hint="eastAsia" w:ascii="黑体" w:hAnsi="黑体" w:eastAsia="黑体" w:cs="黑体"/>
          <w:sz w:val="32"/>
          <w:szCs w:val="32"/>
        </w:rPr>
      </w:pPr>
      <w:r>
        <w:rPr>
          <w:rFonts w:hint="eastAsia" w:ascii="黑体" w:hAnsi="黑体" w:eastAsia="黑体" w:cs="黑体"/>
          <w:sz w:val="32"/>
          <w:szCs w:val="32"/>
        </w:rPr>
        <w:br w:type="page"/>
      </w:r>
    </w:p>
    <w:p w14:paraId="00DFC094">
      <w:pPr>
        <w:jc w:val="center"/>
        <w:rPr>
          <w:rFonts w:hint="eastAsia" w:ascii="黑体" w:hAnsi="黑体" w:eastAsia="黑体" w:cs="黑体"/>
          <w:sz w:val="32"/>
          <w:szCs w:val="32"/>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3229E256">
      <w:pPr>
        <w:jc w:val="center"/>
        <w:rPr>
          <w:rFonts w:hint="eastAsia" w:ascii="方正小标宋简体" w:eastAsia="方正小标宋简体"/>
          <w:color w:val="000000"/>
          <w:sz w:val="36"/>
          <w:szCs w:val="36"/>
          <w:lang w:eastAsia="zh-CN"/>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6</w:t>
            </w:r>
          </w:p>
        </w:tc>
        <w:tc>
          <w:tcPr>
            <w:tcW w:w="3685" w:type="dxa"/>
            <w:vAlign w:val="center"/>
          </w:tcPr>
          <w:p w14:paraId="4533193F">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rPr>
              <w:t>资质材料</w:t>
            </w:r>
          </w:p>
        </w:tc>
        <w:tc>
          <w:tcPr>
            <w:tcW w:w="5229" w:type="dxa"/>
            <w:vAlign w:val="center"/>
          </w:tcPr>
          <w:p w14:paraId="58DB846B">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供应商资质材料以及拟派人员资质材料</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7DD941A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5259E36C">
            <w:pPr>
              <w:rPr>
                <w:rFonts w:ascii="仿宋" w:hAnsi="仿宋" w:eastAsia="仿宋" w:cs="宋体"/>
                <w:b/>
                <w:bCs/>
                <w:color w:val="C00000"/>
                <w:kern w:val="0"/>
                <w:sz w:val="22"/>
                <w:szCs w:val="21"/>
              </w:rPr>
            </w:pP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rPr>
          <w:rFonts w:ascii="仿宋_GB2312" w:eastAsia="仿宋_GB2312"/>
          <w:color w:val="000000"/>
          <w:sz w:val="28"/>
          <w:szCs w:val="28"/>
        </w:rPr>
      </w:pPr>
    </w:p>
    <w:p w14:paraId="5691BFE0">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54146"/>
      <w:bookmarkStart w:id="1" w:name="_Toc258360269"/>
      <w:bookmarkStart w:id="2" w:name="_Toc261708863"/>
      <w:bookmarkStart w:id="3" w:name="_Toc258333636"/>
      <w:bookmarkStart w:id="4" w:name="_Toc320878640"/>
      <w:bookmarkStart w:id="5" w:name="_Toc337554724"/>
      <w:bookmarkStart w:id="6" w:name="_Toc219626747"/>
      <w:bookmarkStart w:id="7" w:name="_Toc15313"/>
      <w:bookmarkStart w:id="8" w:name="_Toc337475854"/>
      <w:bookmarkStart w:id="9" w:name="_Toc10762"/>
      <w:bookmarkStart w:id="10" w:name="_Toc248896063"/>
      <w:bookmarkStart w:id="11" w:name="_Toc304219257"/>
      <w:bookmarkStart w:id="12" w:name="_Toc9548"/>
      <w:bookmarkStart w:id="13" w:name="_Toc17030"/>
      <w:bookmarkStart w:id="14" w:name="_Toc25836015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A59CB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或法人</w:t>
      </w:r>
      <w:r>
        <w:rPr>
          <w:rFonts w:hint="eastAsia" w:ascii="仿宋_GB2312" w:hAnsi="宋体" w:eastAsia="仿宋_GB2312"/>
          <w:color w:val="000000"/>
          <w:sz w:val="32"/>
          <w:szCs w:val="32"/>
        </w:rPr>
        <w:t xml:space="preserve">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或法人</w:t>
      </w:r>
      <w:r>
        <w:rPr>
          <w:rFonts w:hint="eastAsia" w:ascii="仿宋_GB2312" w:hAnsi="宋体" w:eastAsia="仿宋_GB2312"/>
          <w:color w:val="000000"/>
          <w:sz w:val="32"/>
          <w:szCs w:val="32"/>
        </w:rPr>
        <w:t xml:space="preserve">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901DC6B">
      <w:pPr>
        <w:ind w:firstLine="5760" w:firstLineChars="1800"/>
        <w:jc w:val="left"/>
        <w:rPr>
          <w:rFonts w:hint="eastAsia" w:ascii="仿宋_GB2312" w:hAnsi="宋体" w:eastAsia="仿宋_GB2312"/>
          <w:color w:val="000000"/>
          <w:sz w:val="32"/>
          <w:szCs w:val="32"/>
        </w:rPr>
      </w:pPr>
    </w:p>
    <w:p w14:paraId="33E223DE">
      <w:pPr>
        <w:jc w:val="left"/>
        <w:rPr>
          <w:rFonts w:hint="eastAsia" w:ascii="仿宋_GB2312" w:hAnsi="宋体" w:eastAsia="仿宋_GB2312"/>
          <w:color w:val="000000"/>
          <w:sz w:val="32"/>
          <w:szCs w:val="32"/>
        </w:rPr>
      </w:pPr>
    </w:p>
    <w:p w14:paraId="434AC410">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附件7：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3218BB6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E2DD97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04E872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75C6D89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593C6885">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406171B1">
      <w:pPr>
        <w:pStyle w:val="17"/>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04ACD903">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6ED9C523">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9BACB72">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B7BC440">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或法人</w:t>
      </w:r>
      <w:r>
        <w:rPr>
          <w:rFonts w:hint="eastAsia" w:ascii="仿宋_GB2312" w:hAnsi="宋体" w:eastAsia="仿宋_GB2312"/>
          <w:color w:val="000000"/>
          <w:sz w:val="32"/>
          <w:szCs w:val="32"/>
        </w:rPr>
        <w:t xml:space="preserve">授权代表（签字）：         </w:t>
      </w:r>
    </w:p>
    <w:p w14:paraId="0AE8ED58">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0C96052"/>
    <w:rsid w:val="111B0067"/>
    <w:rsid w:val="114C35D9"/>
    <w:rsid w:val="11953DFF"/>
    <w:rsid w:val="11C31BE9"/>
    <w:rsid w:val="122652B1"/>
    <w:rsid w:val="12A11F66"/>
    <w:rsid w:val="13BB55C9"/>
    <w:rsid w:val="13C5199E"/>
    <w:rsid w:val="14682D8B"/>
    <w:rsid w:val="15CB71BF"/>
    <w:rsid w:val="16A35C46"/>
    <w:rsid w:val="170D04F7"/>
    <w:rsid w:val="17D81E85"/>
    <w:rsid w:val="18295F7A"/>
    <w:rsid w:val="186D0D29"/>
    <w:rsid w:val="188744A6"/>
    <w:rsid w:val="1965314B"/>
    <w:rsid w:val="1A0C71E7"/>
    <w:rsid w:val="1A257B62"/>
    <w:rsid w:val="1A2F3861"/>
    <w:rsid w:val="1B030752"/>
    <w:rsid w:val="1B304823"/>
    <w:rsid w:val="1BCA7DF5"/>
    <w:rsid w:val="1BF9221C"/>
    <w:rsid w:val="1C900C49"/>
    <w:rsid w:val="1D4C17AE"/>
    <w:rsid w:val="1D5D013B"/>
    <w:rsid w:val="1D995826"/>
    <w:rsid w:val="1E4C6245"/>
    <w:rsid w:val="1F1D4095"/>
    <w:rsid w:val="1F3F2731"/>
    <w:rsid w:val="1FAD5926"/>
    <w:rsid w:val="210F6D87"/>
    <w:rsid w:val="21652A37"/>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AD00DF0"/>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4086D96"/>
    <w:rsid w:val="351849C1"/>
    <w:rsid w:val="35235DD9"/>
    <w:rsid w:val="355D343E"/>
    <w:rsid w:val="35803DCD"/>
    <w:rsid w:val="358D0D69"/>
    <w:rsid w:val="359022EB"/>
    <w:rsid w:val="35FA6F6D"/>
    <w:rsid w:val="369F4A7E"/>
    <w:rsid w:val="384A7AD5"/>
    <w:rsid w:val="39C668D9"/>
    <w:rsid w:val="39CF66B5"/>
    <w:rsid w:val="3A3A4AA9"/>
    <w:rsid w:val="3AD243FA"/>
    <w:rsid w:val="3B1111E4"/>
    <w:rsid w:val="3B2A4846"/>
    <w:rsid w:val="3B5373B6"/>
    <w:rsid w:val="3B677688"/>
    <w:rsid w:val="3BEB0C8E"/>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9B9557B"/>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9E1728D"/>
    <w:rsid w:val="6A3805EE"/>
    <w:rsid w:val="6A67750E"/>
    <w:rsid w:val="6BDA23AB"/>
    <w:rsid w:val="6BF3161E"/>
    <w:rsid w:val="6CD8518D"/>
    <w:rsid w:val="6CEF1588"/>
    <w:rsid w:val="6D441E3B"/>
    <w:rsid w:val="6ECA7999"/>
    <w:rsid w:val="6F7B0CA4"/>
    <w:rsid w:val="6F8E4227"/>
    <w:rsid w:val="6FEC0000"/>
    <w:rsid w:val="70201765"/>
    <w:rsid w:val="70E04A7D"/>
    <w:rsid w:val="70F03E6A"/>
    <w:rsid w:val="71B367CA"/>
    <w:rsid w:val="72975FEA"/>
    <w:rsid w:val="72AF20B0"/>
    <w:rsid w:val="72BB172F"/>
    <w:rsid w:val="73B95B82"/>
    <w:rsid w:val="73BA7E96"/>
    <w:rsid w:val="745F5922"/>
    <w:rsid w:val="74C42AAC"/>
    <w:rsid w:val="75441CAA"/>
    <w:rsid w:val="775D3592"/>
    <w:rsid w:val="77F35741"/>
    <w:rsid w:val="78481C82"/>
    <w:rsid w:val="78821972"/>
    <w:rsid w:val="78934703"/>
    <w:rsid w:val="78BC0632"/>
    <w:rsid w:val="78BE0AF1"/>
    <w:rsid w:val="791663CE"/>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首行缩进"/>
    <w:qFormat/>
    <w:uiPriority w:val="0"/>
    <w:pPr>
      <w:widowControl w:val="0"/>
      <w:spacing w:line="300" w:lineRule="auto"/>
      <w:ind w:firstLine="420" w:firstLineChars="200"/>
      <w:jc w:val="both"/>
    </w:pPr>
    <w:rPr>
      <w:rFonts w:ascii="Calibri" w:hAnsi="Calibri" w:eastAsia="方正书宋简体" w:cstheme="minorBidi"/>
      <w:kern w:val="2"/>
      <w:sz w:val="21"/>
      <w:lang w:val="en-US" w:eastAsia="zh-CN" w:bidi="ar-SA"/>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1"/>
    <w:link w:val="6"/>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1"/>
    <w:autoRedefine/>
    <w:qFormat/>
    <w:uiPriority w:val="0"/>
  </w:style>
  <w:style w:type="paragraph" w:customStyle="1" w:styleId="22">
    <w:name w:val="无间隔1"/>
    <w:basedOn w:val="1"/>
    <w:autoRedefine/>
    <w:qFormat/>
    <w:uiPriority w:val="1"/>
    <w:pPr>
      <w:spacing w:line="400" w:lineRule="exact"/>
    </w:pPr>
    <w:rPr>
      <w:rFonts w:ascii="Calibri" w:hAnsi="Calibri"/>
      <w:sz w:val="24"/>
      <w:szCs w:val="22"/>
    </w:rPr>
  </w:style>
  <w:style w:type="character" w:customStyle="1" w:styleId="23">
    <w:name w:val="font21"/>
    <w:basedOn w:val="11"/>
    <w:autoRedefine/>
    <w:qFormat/>
    <w:uiPriority w:val="0"/>
    <w:rPr>
      <w:rFonts w:hint="eastAsia" w:ascii="宋体" w:hAnsi="宋体" w:eastAsia="宋体" w:cs="宋体"/>
      <w:color w:val="FF0000"/>
      <w:sz w:val="24"/>
      <w:szCs w:val="24"/>
      <w:u w:val="none"/>
    </w:rPr>
  </w:style>
  <w:style w:type="character" w:customStyle="1" w:styleId="24">
    <w:name w:val="font61"/>
    <w:basedOn w:val="11"/>
    <w:autoRedefine/>
    <w:qFormat/>
    <w:uiPriority w:val="0"/>
    <w:rPr>
      <w:rFonts w:hint="eastAsia" w:ascii="宋体" w:hAnsi="宋体" w:eastAsia="宋体" w:cs="宋体"/>
      <w:color w:val="000000"/>
      <w:sz w:val="18"/>
      <w:szCs w:val="18"/>
      <w:u w:val="none"/>
    </w:rPr>
  </w:style>
  <w:style w:type="character" w:customStyle="1" w:styleId="25">
    <w:name w:val="font91"/>
    <w:basedOn w:val="11"/>
    <w:autoRedefine/>
    <w:qFormat/>
    <w:uiPriority w:val="0"/>
    <w:rPr>
      <w:rFonts w:hint="eastAsia" w:ascii="宋体" w:hAnsi="宋体" w:eastAsia="宋体" w:cs="宋体"/>
      <w:color w:val="FF0000"/>
      <w:sz w:val="18"/>
      <w:szCs w:val="18"/>
      <w:u w:val="none"/>
    </w:rPr>
  </w:style>
  <w:style w:type="character" w:customStyle="1" w:styleId="26">
    <w:name w:val="font112"/>
    <w:basedOn w:val="11"/>
    <w:autoRedefine/>
    <w:qFormat/>
    <w:uiPriority w:val="0"/>
    <w:rPr>
      <w:rFonts w:hint="eastAsia" w:ascii="宋体" w:hAnsi="宋体" w:eastAsia="宋体" w:cs="宋体"/>
      <w:color w:val="000000"/>
      <w:sz w:val="18"/>
      <w:szCs w:val="18"/>
      <w:u w:val="none"/>
    </w:rPr>
  </w:style>
  <w:style w:type="character" w:customStyle="1" w:styleId="27">
    <w:name w:val="font11"/>
    <w:basedOn w:val="11"/>
    <w:autoRedefine/>
    <w:qFormat/>
    <w:uiPriority w:val="0"/>
    <w:rPr>
      <w:rFonts w:hint="eastAsia" w:ascii="黑体" w:hAnsi="宋体" w:eastAsia="黑体" w:cs="黑体"/>
      <w:color w:val="000000"/>
      <w:sz w:val="21"/>
      <w:szCs w:val="21"/>
      <w:u w:val="none"/>
    </w:rPr>
  </w:style>
  <w:style w:type="character" w:customStyle="1" w:styleId="28">
    <w:name w:val="font41"/>
    <w:basedOn w:val="11"/>
    <w:autoRedefine/>
    <w:qFormat/>
    <w:uiPriority w:val="0"/>
    <w:rPr>
      <w:rFonts w:hint="eastAsia" w:ascii="宋体" w:hAnsi="宋体" w:eastAsia="宋体" w:cs="宋体"/>
      <w:color w:val="000000"/>
      <w:sz w:val="18"/>
      <w:szCs w:val="18"/>
      <w:u w:val="none"/>
    </w:rPr>
  </w:style>
  <w:style w:type="paragraph" w:customStyle="1" w:styleId="29">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4192</Words>
  <Characters>4362</Characters>
  <Lines>55</Lines>
  <Paragraphs>15</Paragraphs>
  <TotalTime>78</TotalTime>
  <ScaleCrop>false</ScaleCrop>
  <LinksUpToDate>false</LinksUpToDate>
  <CharactersWithSpaces>4849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2025-07-30T01:55:00Z</cp:lastPrinted>
  <dcterms:modified xsi:type="dcterms:W3CDTF">2025-09-10T02:03:05Z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4AFC39341D854C4AB74D382695CF4327_13</vt:lpwstr>
  </property>
  <property fmtid="{D5CDD505-2E9C-101B-9397-08002B2CF9AE}" pid="4" name="KSOTemplateDocerSaveRecord">
    <vt:lpwstr>eyJoZGlkIjoiYWU1NDNmY2IxYmMyMzRjZjA2YTM3NGEzN2VhMTM1N2YiLCJ1c2VySWQiOiI4OTgwMjI2MDkifQ==</vt:lpwstr>
  </property>
</Properties>
</file>