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DBC">
      <w:pPr>
        <w:jc w:val="center"/>
        <w:rPr>
          <w:rFonts w:hint="eastAsia" w:ascii="黑体" w:hAnsi="黑体" w:eastAsia="黑体" w:cs="黑体"/>
          <w:sz w:val="52"/>
          <w:szCs w:val="52"/>
        </w:rPr>
      </w:pPr>
    </w:p>
    <w:p w14:paraId="4D240396">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727CEEA5">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2025年放射诊疗设备年检及稳定性检测服务采购项目</w:t>
      </w:r>
    </w:p>
    <w:p w14:paraId="67E8AD2E">
      <w:pPr>
        <w:jc w:val="center"/>
        <w:rPr>
          <w:rFonts w:hint="eastAsia" w:ascii="黑体" w:hAnsi="黑体" w:eastAsia="黑体" w:cs="黑体"/>
          <w:sz w:val="52"/>
          <w:szCs w:val="52"/>
          <w:lang w:val="en-US" w:eastAsia="zh-CN"/>
        </w:rPr>
      </w:pPr>
    </w:p>
    <w:p w14:paraId="4C955027">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F0B692B">
      <w:pPr>
        <w:jc w:val="center"/>
        <w:rPr>
          <w:rFonts w:ascii="黑体" w:hAnsi="黑体" w:eastAsia="黑体" w:cs="黑体"/>
          <w:sz w:val="52"/>
          <w:szCs w:val="52"/>
        </w:rPr>
      </w:pPr>
    </w:p>
    <w:p w14:paraId="0B8AD9C5">
      <w:pPr>
        <w:pStyle w:val="2"/>
        <w:rPr>
          <w:rFonts w:hint="eastAsia"/>
        </w:rPr>
      </w:pPr>
    </w:p>
    <w:p w14:paraId="707B73A8">
      <w:pPr>
        <w:pStyle w:val="2"/>
        <w:rPr>
          <w:rFonts w:hint="eastAsia"/>
        </w:rPr>
      </w:pPr>
    </w:p>
    <w:p w14:paraId="58785D74">
      <w:pPr>
        <w:jc w:val="center"/>
        <w:rPr>
          <w:rFonts w:ascii="黑体" w:hAnsi="黑体" w:eastAsia="黑体" w:cs="黑体"/>
          <w:sz w:val="52"/>
          <w:szCs w:val="52"/>
        </w:rPr>
      </w:pPr>
    </w:p>
    <w:p w14:paraId="146601FE">
      <w:pPr>
        <w:pStyle w:val="2"/>
        <w:rPr>
          <w:rFonts w:ascii="黑体" w:hAnsi="黑体" w:eastAsia="黑体" w:cs="黑体"/>
          <w:sz w:val="52"/>
          <w:szCs w:val="52"/>
        </w:rPr>
      </w:pPr>
    </w:p>
    <w:p w14:paraId="49929A60">
      <w:pPr>
        <w:pStyle w:val="2"/>
        <w:rPr>
          <w:rFonts w:ascii="黑体" w:hAnsi="黑体" w:eastAsia="黑体" w:cs="黑体"/>
          <w:sz w:val="52"/>
          <w:szCs w:val="52"/>
        </w:rPr>
      </w:pPr>
    </w:p>
    <w:p w14:paraId="70956D4F">
      <w:pPr>
        <w:jc w:val="both"/>
        <w:rPr>
          <w:rFonts w:ascii="黑体" w:hAnsi="黑体" w:eastAsia="黑体" w:cs="黑体"/>
          <w:sz w:val="52"/>
          <w:szCs w:val="52"/>
        </w:rPr>
      </w:pPr>
    </w:p>
    <w:p w14:paraId="09E1BB7E">
      <w:pPr>
        <w:pStyle w:val="2"/>
      </w:pPr>
    </w:p>
    <w:p w14:paraId="1638106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EDF2F9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2025年8月28日</w:t>
      </w:r>
    </w:p>
    <w:p w14:paraId="69EAAF19">
      <w:pPr>
        <w:pStyle w:val="2"/>
        <w:rPr>
          <w:rFonts w:hint="eastAsia"/>
          <w:lang w:val="en-US" w:eastAsia="zh-CN"/>
        </w:rPr>
      </w:pPr>
    </w:p>
    <w:p w14:paraId="529110F1">
      <w:pPr>
        <w:pStyle w:val="2"/>
        <w:rPr>
          <w:rFonts w:hint="eastAsia" w:ascii="黑体" w:hAnsi="黑体" w:eastAsia="黑体" w:cs="黑体"/>
          <w:sz w:val="32"/>
          <w:szCs w:val="32"/>
          <w:lang w:val="en-US" w:eastAsia="zh-CN"/>
        </w:rPr>
      </w:pPr>
    </w:p>
    <w:p w14:paraId="1DAFDC79">
      <w:pPr>
        <w:pStyle w:val="2"/>
        <w:rPr>
          <w:rFonts w:hint="eastAsia" w:ascii="黑体" w:hAnsi="黑体" w:eastAsia="黑体" w:cs="黑体"/>
          <w:sz w:val="32"/>
          <w:szCs w:val="32"/>
          <w:lang w:val="en-US" w:eastAsia="zh-CN"/>
        </w:rPr>
      </w:pPr>
    </w:p>
    <w:p w14:paraId="4F2B3A17">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E53C95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0E7BA9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793ED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45A412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4270AE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37FA1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3AFB8A">
      <w:pPr>
        <w:rPr>
          <w:rFonts w:ascii="黑体" w:hAnsi="黑体" w:eastAsia="黑体" w:cs="黑体"/>
          <w:sz w:val="32"/>
          <w:szCs w:val="32"/>
        </w:rPr>
      </w:pPr>
      <w:r>
        <w:rPr>
          <w:rFonts w:hint="eastAsia" w:ascii="黑体" w:hAnsi="黑体" w:eastAsia="黑体" w:cs="黑体"/>
          <w:sz w:val="32"/>
          <w:szCs w:val="32"/>
        </w:rPr>
        <w:t xml:space="preserve">           （四）评标办法</w:t>
      </w:r>
    </w:p>
    <w:p w14:paraId="7CA98794">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883C48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D150B3">
      <w:pPr>
        <w:rPr>
          <w:rFonts w:ascii="黑体" w:hAnsi="黑体" w:eastAsia="黑体" w:cs="黑体"/>
          <w:sz w:val="32"/>
          <w:szCs w:val="32"/>
        </w:rPr>
      </w:pPr>
    </w:p>
    <w:p w14:paraId="64BAF2F8">
      <w:pPr>
        <w:rPr>
          <w:rFonts w:ascii="黑体" w:hAnsi="黑体" w:eastAsia="黑体" w:cs="黑体"/>
          <w:sz w:val="32"/>
          <w:szCs w:val="32"/>
        </w:rPr>
      </w:pPr>
    </w:p>
    <w:p w14:paraId="607BD496">
      <w:pPr>
        <w:rPr>
          <w:rFonts w:ascii="黑体" w:hAnsi="黑体" w:eastAsia="黑体" w:cs="黑体"/>
          <w:sz w:val="32"/>
          <w:szCs w:val="32"/>
        </w:rPr>
      </w:pPr>
    </w:p>
    <w:p w14:paraId="698B5CFC">
      <w:pPr>
        <w:rPr>
          <w:rFonts w:ascii="黑体" w:hAnsi="黑体" w:eastAsia="黑体" w:cs="黑体"/>
          <w:sz w:val="32"/>
          <w:szCs w:val="32"/>
        </w:rPr>
      </w:pPr>
    </w:p>
    <w:p w14:paraId="30ED1DE1">
      <w:pPr>
        <w:rPr>
          <w:rFonts w:ascii="黑体" w:hAnsi="黑体" w:eastAsia="黑体" w:cs="黑体"/>
          <w:sz w:val="32"/>
          <w:szCs w:val="32"/>
        </w:rPr>
      </w:pPr>
    </w:p>
    <w:p w14:paraId="3D0F734F">
      <w:pPr>
        <w:rPr>
          <w:rFonts w:ascii="黑体" w:hAnsi="黑体" w:eastAsia="黑体" w:cs="黑体"/>
          <w:sz w:val="32"/>
          <w:szCs w:val="32"/>
        </w:rPr>
      </w:pPr>
    </w:p>
    <w:p w14:paraId="078C07FA">
      <w:pPr>
        <w:pStyle w:val="2"/>
        <w:rPr>
          <w:rFonts w:ascii="黑体" w:hAnsi="黑体" w:eastAsia="黑体" w:cs="黑体"/>
          <w:sz w:val="32"/>
          <w:szCs w:val="32"/>
        </w:rPr>
      </w:pPr>
    </w:p>
    <w:p w14:paraId="4A7DD139">
      <w:pPr>
        <w:pStyle w:val="2"/>
        <w:rPr>
          <w:rFonts w:ascii="黑体" w:hAnsi="黑体" w:eastAsia="黑体" w:cs="黑体"/>
          <w:sz w:val="32"/>
          <w:szCs w:val="32"/>
        </w:rPr>
      </w:pPr>
    </w:p>
    <w:p w14:paraId="43C736C9">
      <w:pPr>
        <w:rPr>
          <w:rFonts w:ascii="黑体" w:hAnsi="黑体" w:eastAsia="黑体" w:cs="黑体"/>
          <w:sz w:val="32"/>
          <w:szCs w:val="32"/>
        </w:rPr>
      </w:pPr>
    </w:p>
    <w:p w14:paraId="3F007EF5">
      <w:pPr>
        <w:rPr>
          <w:rFonts w:ascii="黑体" w:hAnsi="黑体" w:eastAsia="黑体" w:cs="黑体"/>
          <w:sz w:val="32"/>
          <w:szCs w:val="32"/>
        </w:rPr>
      </w:pPr>
    </w:p>
    <w:p w14:paraId="62F829A8">
      <w:pPr>
        <w:pStyle w:val="2"/>
      </w:pPr>
    </w:p>
    <w:p w14:paraId="5B42A660">
      <w:pPr>
        <w:rPr>
          <w:rFonts w:ascii="黑体" w:hAnsi="黑体" w:eastAsia="黑体" w:cs="黑体"/>
          <w:sz w:val="32"/>
          <w:szCs w:val="32"/>
        </w:rPr>
      </w:pPr>
    </w:p>
    <w:p w14:paraId="4B0F254A">
      <w:pPr>
        <w:pStyle w:val="2"/>
        <w:rPr>
          <w:rFonts w:ascii="黑体" w:hAnsi="黑体" w:eastAsia="黑体" w:cs="黑体"/>
          <w:sz w:val="32"/>
          <w:szCs w:val="32"/>
        </w:rPr>
      </w:pPr>
    </w:p>
    <w:p w14:paraId="244DCED2">
      <w:pPr>
        <w:pStyle w:val="2"/>
        <w:rPr>
          <w:rFonts w:ascii="黑体" w:hAnsi="黑体" w:eastAsia="黑体" w:cs="黑体"/>
          <w:sz w:val="32"/>
          <w:szCs w:val="32"/>
        </w:rPr>
      </w:pPr>
    </w:p>
    <w:p w14:paraId="1A68C84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06E60F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2025年放射诊疗设备年检及稳定性检测服务采购项目</w:t>
      </w:r>
      <w:r>
        <w:rPr>
          <w:rFonts w:hint="eastAsia" w:ascii="仿宋_GB2312" w:eastAsia="仿宋_GB2312"/>
          <w:sz w:val="32"/>
          <w:szCs w:val="32"/>
          <w:lang w:eastAsia="zh-CN"/>
        </w:rPr>
        <w:t>，具体事宜公布如下：</w:t>
      </w:r>
    </w:p>
    <w:p w14:paraId="230B0DD7">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538B2F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2025年放射诊疗设备年检及稳定性检测服务采购项目</w:t>
      </w:r>
      <w:r>
        <w:rPr>
          <w:rFonts w:hint="eastAsia" w:ascii="仿宋_GB2312" w:eastAsia="仿宋_GB2312"/>
          <w:sz w:val="32"/>
          <w:szCs w:val="32"/>
        </w:rPr>
        <w:t>。</w:t>
      </w:r>
    </w:p>
    <w:p w14:paraId="764404A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 xml:space="preserve"> </w:t>
      </w:r>
    </w:p>
    <w:p w14:paraId="7A79DE0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项目要求：对我院现有放射诊疗设备18台进行稳定性检测和年度检测（后附清单）</w:t>
      </w:r>
      <w:r>
        <w:rPr>
          <w:rFonts w:hint="eastAsia" w:ascii="仿宋_GB2312" w:eastAsia="仿宋_GB2312" w:hAnsiTheme="minorHAnsi" w:cstheme="minorBidi"/>
          <w:kern w:val="2"/>
          <w:sz w:val="32"/>
          <w:szCs w:val="32"/>
          <w:lang w:val="en-US" w:eastAsia="zh-CN" w:bidi="ar-SA"/>
        </w:rPr>
        <w:t>。</w:t>
      </w:r>
    </w:p>
    <w:p w14:paraId="0B2E8DE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项目预算：7万元整。</w:t>
      </w:r>
    </w:p>
    <w:p w14:paraId="57B3597C">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CAABADA">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供应商具备政府采购法规二十二条的六条资格要求；</w:t>
      </w:r>
    </w:p>
    <w:p w14:paraId="282164A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具备承担采购项目的能力。具有甲级放射卫生技术服务机构资质证书（省外机构需提供河南省卫健委备案证明材料）</w:t>
      </w:r>
      <w:bookmarkStart w:id="0" w:name="OLE_LINK3"/>
      <w:r>
        <w:rPr>
          <w:rFonts w:hint="eastAsia" w:ascii="仿宋_GB2312" w:hAnsi="仿宋_GB2312" w:eastAsia="仿宋_GB2312" w:cs="仿宋_GB2312"/>
          <w:sz w:val="28"/>
          <w:szCs w:val="28"/>
          <w:lang w:val="en-US" w:eastAsia="zh-CN"/>
        </w:rPr>
        <w:t>具有检验检测机构资质证书</w:t>
      </w:r>
      <w:bookmarkEnd w:id="0"/>
      <w:r>
        <w:rPr>
          <w:rFonts w:hint="eastAsia" w:ascii="仿宋_GB2312" w:hAnsi="仿宋_GB2312" w:eastAsia="仿宋_GB2312" w:cs="仿宋_GB2312"/>
          <w:sz w:val="28"/>
          <w:szCs w:val="28"/>
          <w:lang w:val="en-US" w:eastAsia="zh-CN"/>
        </w:rPr>
        <w:t>；项目负责人需为本单位在职员工，且国家相关机构颁发的放射卫生资格证书。提供项目负责人在本单位连续半年以上的社保缴纳证明、资格证书</w:t>
      </w:r>
      <w:r>
        <w:rPr>
          <w:rFonts w:hint="eastAsia" w:ascii="仿宋_GB2312" w:eastAsia="仿宋_GB2312"/>
          <w:sz w:val="32"/>
          <w:szCs w:val="32"/>
          <w:lang w:val="en-US" w:eastAsia="zh-CN"/>
        </w:rPr>
        <w:t>；</w:t>
      </w:r>
    </w:p>
    <w:p w14:paraId="486C1368">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14:paraId="6C914A61">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14:paraId="6DA2AAA1">
      <w:pPr>
        <w:spacing w:line="560" w:lineRule="exact"/>
        <w:ind w:firstLine="640" w:firstLineChars="200"/>
        <w:rPr>
          <w:rFonts w:hint="default" w:eastAsia="仿宋_GB231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14:paraId="16D89DD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4A57811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 xml:space="preserve">2025年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w:t>
      </w:r>
      <w:bookmarkStart w:id="21" w:name="_GoBack"/>
      <w:bookmarkEnd w:id="21"/>
      <w:r>
        <w:rPr>
          <w:rFonts w:hint="eastAsia" w:ascii="仿宋_GB2312" w:eastAsia="仿宋_GB2312"/>
          <w:color w:val="C00000"/>
          <w:sz w:val="32"/>
          <w:szCs w:val="32"/>
          <w:lang w:val="en-US" w:eastAsia="zh-CN"/>
        </w:rPr>
        <w:t xml:space="preserve">2025年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26C959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14:paraId="3CF42C51">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14:paraId="13A4349B">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color w:val="FF0000"/>
          <w:sz w:val="32"/>
          <w:szCs w:val="32"/>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w:t>
      </w:r>
    </w:p>
    <w:p w14:paraId="61F7EAEC">
      <w:pPr>
        <w:keepNext w:val="0"/>
        <w:keepLines w:val="0"/>
        <w:pageBreakBefore w:val="0"/>
        <w:numPr>
          <w:ilvl w:val="0"/>
          <w:numId w:val="0"/>
        </w:numPr>
        <w:kinsoku/>
        <w:wordWrap/>
        <w:overflowPunct/>
        <w:topLinePunct w:val="0"/>
        <w:autoSpaceDE/>
        <w:autoSpaceDN/>
        <w:bidi w:val="0"/>
        <w:snapToGrid/>
        <w:spacing w:line="578" w:lineRule="exact"/>
        <w:textAlignment w:val="auto"/>
        <w:outlineLvl w:val="9"/>
        <w:rPr>
          <w:rFonts w:hint="default" w:ascii="仿宋_GB2312" w:eastAsia="仿宋_GB2312"/>
          <w:color w:val="FF0000"/>
          <w:sz w:val="32"/>
          <w:szCs w:val="32"/>
          <w:lang w:val="en-US" w:eastAsia="zh-CN"/>
        </w:rPr>
      </w:pPr>
      <w:r>
        <w:rPr>
          <w:rFonts w:hint="eastAsia" w:ascii="仿宋_GB2312" w:eastAsia="仿宋_GB2312"/>
          <w:color w:val="FF0000"/>
          <w:sz w:val="32"/>
          <w:szCs w:val="32"/>
        </w:rPr>
        <w:t>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检测机构证书及人员资质证书。</w:t>
      </w:r>
    </w:p>
    <w:p w14:paraId="350D1EDC">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D7F207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B6713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979A66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CC9E2C1">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授权委托书及电子报价单</w:t>
      </w:r>
    </w:p>
    <w:p w14:paraId="124949E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0D7CA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AD3E4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97FA1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8D0B6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D53BF0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5C3CD7D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4C6E787">
      <w:pPr>
        <w:pStyle w:val="2"/>
        <w:rPr>
          <w:rFonts w:hint="default" w:ascii="仿宋_GB2312" w:eastAsia="仿宋_GB2312"/>
          <w:b/>
          <w:sz w:val="32"/>
          <w:szCs w:val="32"/>
        </w:rPr>
      </w:pPr>
    </w:p>
    <w:p w14:paraId="33B380D4">
      <w:pPr>
        <w:pStyle w:val="2"/>
        <w:rPr>
          <w:rFonts w:hint="default" w:ascii="仿宋_GB2312" w:eastAsia="仿宋_GB2312"/>
          <w:b/>
          <w:sz w:val="32"/>
          <w:szCs w:val="32"/>
        </w:rPr>
      </w:pPr>
    </w:p>
    <w:p w14:paraId="61EAE1C5">
      <w:pPr>
        <w:pStyle w:val="2"/>
        <w:rPr>
          <w:rFonts w:hint="default" w:ascii="仿宋_GB2312" w:eastAsia="仿宋_GB2312"/>
          <w:b/>
          <w:sz w:val="32"/>
          <w:szCs w:val="32"/>
        </w:rPr>
      </w:pPr>
    </w:p>
    <w:p w14:paraId="1046099C">
      <w:pPr>
        <w:pStyle w:val="2"/>
        <w:rPr>
          <w:rFonts w:hint="default" w:ascii="仿宋_GB2312" w:eastAsia="仿宋_GB2312"/>
          <w:b/>
          <w:sz w:val="32"/>
          <w:szCs w:val="32"/>
        </w:rPr>
      </w:pPr>
    </w:p>
    <w:p w14:paraId="7550676B">
      <w:pPr>
        <w:pStyle w:val="2"/>
        <w:rPr>
          <w:rFonts w:hint="default" w:ascii="仿宋_GB2312" w:eastAsia="仿宋_GB2312"/>
          <w:b/>
          <w:sz w:val="32"/>
          <w:szCs w:val="32"/>
        </w:rPr>
      </w:pPr>
    </w:p>
    <w:p w14:paraId="4017EFD1">
      <w:pPr>
        <w:pStyle w:val="2"/>
        <w:rPr>
          <w:rFonts w:hint="default" w:ascii="仿宋_GB2312" w:eastAsia="仿宋_GB2312"/>
          <w:b/>
          <w:sz w:val="32"/>
          <w:szCs w:val="32"/>
        </w:rPr>
      </w:pPr>
    </w:p>
    <w:p w14:paraId="5825C692">
      <w:pPr>
        <w:pStyle w:val="2"/>
        <w:rPr>
          <w:rFonts w:hint="eastAsia" w:ascii="仿宋_GB2312" w:eastAsia="仿宋_GB2312"/>
          <w:b/>
          <w:sz w:val="32"/>
          <w:szCs w:val="32"/>
          <w:lang w:val="en-US" w:eastAsia="zh-CN"/>
        </w:rPr>
      </w:pPr>
    </w:p>
    <w:p w14:paraId="40C9582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268356">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2502CD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1C4A3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28E89F01">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B84B0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1898CC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8B9A9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9A41B0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5CDC4B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E7D35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F72671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6F34C6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A6803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A0B5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9A522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3EC2ED52">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736FF8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B44896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896FF7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F2786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645DFA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3861327">
      <w:pPr>
        <w:pStyle w:val="2"/>
      </w:pPr>
    </w:p>
    <w:p w14:paraId="27C966D9">
      <w:pPr>
        <w:pStyle w:val="2"/>
      </w:pPr>
    </w:p>
    <w:p w14:paraId="711CF57D">
      <w:pPr>
        <w:pStyle w:val="2"/>
      </w:pPr>
    </w:p>
    <w:p w14:paraId="2D653CBA">
      <w:pPr>
        <w:pStyle w:val="2"/>
      </w:pPr>
    </w:p>
    <w:p w14:paraId="6F8F39EB">
      <w:pPr>
        <w:pStyle w:val="2"/>
      </w:pPr>
    </w:p>
    <w:p w14:paraId="61560F0D">
      <w:pPr>
        <w:pStyle w:val="2"/>
      </w:pPr>
    </w:p>
    <w:p w14:paraId="65894AF6">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3C96536F">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77B20AAA">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14:paraId="1AB6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63B87C7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3364205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14:paraId="710E3A0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70D2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14:paraId="2EC6B052">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376DA5E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2A45202">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14:paraId="5B4BFDAD">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14:paraId="1DCBA88F">
            <w:pPr>
              <w:spacing w:before="120" w:after="120" w:line="360" w:lineRule="auto"/>
              <w:rPr>
                <w:rFonts w:ascii="宋体" w:hAnsi="宋体" w:cs="宋体"/>
                <w:color w:val="FF0000"/>
                <w:szCs w:val="21"/>
              </w:rPr>
            </w:pPr>
            <w:r>
              <w:rPr>
                <w:rFonts w:hint="eastAsia" w:ascii="宋体" w:hAnsi="宋体" w:cs="宋体"/>
                <w:color w:val="FF0000"/>
                <w:szCs w:val="21"/>
              </w:rPr>
              <w:t>技术部分：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50</w:t>
            </w:r>
            <w:r>
              <w:rPr>
                <w:rFonts w:hint="eastAsia" w:ascii="宋体" w:hAnsi="宋体" w:cs="宋体"/>
                <w:color w:val="FF0000"/>
                <w:szCs w:val="21"/>
                <w:u w:val="single"/>
              </w:rPr>
              <w:t xml:space="preserve"> </w:t>
            </w:r>
            <w:r>
              <w:rPr>
                <w:rFonts w:hint="eastAsia" w:ascii="宋体" w:hAnsi="宋体" w:cs="宋体"/>
                <w:color w:val="FF0000"/>
                <w:szCs w:val="21"/>
              </w:rPr>
              <w:t>分</w:t>
            </w:r>
          </w:p>
          <w:p w14:paraId="3F5C989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14:paraId="52FDA37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14:paraId="4B96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62ECC599">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527FA2C2">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满足招标文件要求且投标报价折扣率最低值为评标基准价，得满分</w:t>
            </w:r>
            <w:r>
              <w:rPr>
                <w:rFonts w:hint="eastAsia" w:ascii="宋体" w:hAnsi="宋体" w:cs="宋体"/>
                <w:color w:val="FF0000"/>
                <w:szCs w:val="21"/>
                <w:lang w:val="en-US" w:eastAsia="zh-CN"/>
              </w:rPr>
              <w:t>30</w:t>
            </w:r>
            <w:r>
              <w:rPr>
                <w:rFonts w:hint="eastAsia" w:ascii="宋体" w:hAnsi="宋体" w:cs="宋体"/>
                <w:color w:val="FF0000"/>
                <w:szCs w:val="21"/>
              </w:rPr>
              <w:t>分，其余投标人得分按照以下公式计算：</w:t>
            </w:r>
          </w:p>
          <w:p w14:paraId="080257B9">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30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14:paraId="072A7A26">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6FB23DD2">
            <w:pPr>
              <w:spacing w:line="360" w:lineRule="auto"/>
              <w:jc w:val="left"/>
              <w:rPr>
                <w:rFonts w:ascii="宋体" w:hAnsi="宋体" w:eastAsia="宋体" w:cs="宋体"/>
                <w:b/>
                <w:color w:val="000000" w:themeColor="text1"/>
                <w:szCs w:val="21"/>
                <w14:textFill>
                  <w14:solidFill>
                    <w14:schemeClr w14:val="tx1"/>
                  </w14:solidFill>
                </w14:textFill>
              </w:rPr>
            </w:pPr>
          </w:p>
        </w:tc>
      </w:tr>
      <w:tr w14:paraId="7C86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Merge w:val="restart"/>
            <w:vAlign w:val="center"/>
          </w:tcPr>
          <w:p w14:paraId="5EF379D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14:paraId="3ADB9DB1">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50</w:t>
            </w:r>
            <w:r>
              <w:rPr>
                <w:rFonts w:hint="eastAsia" w:ascii="宋体" w:hAnsi="宋体" w:cs="宋体"/>
                <w:color w:val="FF0000"/>
                <w:szCs w:val="21"/>
              </w:rPr>
              <w:t>分）</w:t>
            </w:r>
          </w:p>
        </w:tc>
        <w:tc>
          <w:tcPr>
            <w:tcW w:w="4810" w:type="dxa"/>
          </w:tcPr>
          <w:p w14:paraId="113C3C8A">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投标人根据设备的运行情况制定检测校准服务方案；</w:t>
            </w:r>
            <w:r>
              <w:rPr>
                <w:rFonts w:hint="eastAsia" w:ascii="宋体" w:hAnsi="宋体" w:eastAsia="宋体" w:cs="宋体"/>
                <w:b w:val="0"/>
                <w:bCs/>
                <w:color w:val="auto"/>
                <w:kern w:val="0"/>
                <w:sz w:val="21"/>
                <w:szCs w:val="21"/>
                <w:highlight w:val="none"/>
                <w:lang w:eastAsia="zh-CN"/>
              </w:rPr>
              <w:t>对投标人提供的</w:t>
            </w:r>
            <w:r>
              <w:rPr>
                <w:rFonts w:hint="eastAsia" w:ascii="宋体" w:hAnsi="宋体" w:eastAsia="宋体" w:cs="宋体"/>
                <w:b w:val="0"/>
                <w:bCs/>
                <w:color w:val="auto"/>
                <w:kern w:val="0"/>
                <w:sz w:val="21"/>
                <w:szCs w:val="21"/>
                <w:highlight w:val="none"/>
                <w:lang w:val="en-US" w:eastAsia="zh-CN"/>
              </w:rPr>
              <w:t>服务方案</w:t>
            </w:r>
            <w:r>
              <w:rPr>
                <w:rFonts w:hint="eastAsia" w:ascii="宋体" w:hAnsi="宋体" w:eastAsia="宋体" w:cs="宋体"/>
                <w:b w:val="0"/>
                <w:bCs/>
                <w:color w:val="auto"/>
                <w:kern w:val="0"/>
                <w:sz w:val="21"/>
                <w:szCs w:val="21"/>
                <w:highlight w:val="none"/>
                <w:lang w:eastAsia="zh-CN"/>
              </w:rPr>
              <w:t>进行打分，</w:t>
            </w:r>
            <w:r>
              <w:rPr>
                <w:rFonts w:hint="eastAsia" w:ascii="宋体" w:hAnsi="宋体" w:eastAsia="宋体" w:cs="宋体"/>
                <w:b w:val="0"/>
                <w:bCs/>
                <w:color w:val="auto"/>
                <w:kern w:val="0"/>
                <w:sz w:val="21"/>
                <w:szCs w:val="21"/>
                <w:highlight w:val="none"/>
                <w:lang w:val="en-US" w:eastAsia="zh-CN"/>
              </w:rPr>
              <w:t>服务方案</w:t>
            </w:r>
            <w:r>
              <w:rPr>
                <w:rFonts w:hint="eastAsia" w:ascii="宋体" w:hAnsi="宋体" w:eastAsia="宋体" w:cs="宋体"/>
                <w:b w:val="0"/>
                <w:bCs/>
                <w:color w:val="auto"/>
                <w:kern w:val="0"/>
                <w:sz w:val="21"/>
                <w:szCs w:val="21"/>
                <w:highlight w:val="none"/>
                <w:lang w:eastAsia="zh-CN"/>
              </w:rPr>
              <w:t>内容全面、科学、合理完全满足项目要求</w:t>
            </w:r>
            <w:r>
              <w:rPr>
                <w:rFonts w:hint="eastAsia" w:ascii="宋体" w:hAnsi="宋体" w:eastAsia="宋体" w:cs="宋体"/>
                <w:b w:val="0"/>
                <w:bCs/>
                <w:color w:val="auto"/>
                <w:kern w:val="0"/>
                <w:sz w:val="21"/>
                <w:szCs w:val="21"/>
                <w:highlight w:val="none"/>
                <w:lang w:val="en-US" w:eastAsia="zh-CN"/>
              </w:rPr>
              <w:t>且否符合国家相关规范要</w:t>
            </w:r>
            <w:r>
              <w:rPr>
                <w:rFonts w:hint="eastAsia" w:ascii="宋体" w:hAnsi="宋体" w:eastAsia="宋体" w:cs="宋体"/>
                <w:b w:val="0"/>
                <w:bCs/>
                <w:color w:val="auto"/>
                <w:kern w:val="0"/>
                <w:sz w:val="21"/>
                <w:szCs w:val="21"/>
                <w:highlight w:val="none"/>
                <w:lang w:eastAsia="zh-CN"/>
              </w:rPr>
              <w:t>得</w:t>
            </w:r>
            <w:r>
              <w:rPr>
                <w:rFonts w:hint="eastAsia" w:ascii="宋体" w:hAnsi="宋体" w:eastAsia="宋体" w:cs="宋体"/>
                <w:b w:val="0"/>
                <w:bCs/>
                <w:color w:val="auto"/>
                <w:kern w:val="0"/>
                <w:sz w:val="21"/>
                <w:szCs w:val="21"/>
                <w:highlight w:val="none"/>
                <w:lang w:val="en-US" w:eastAsia="zh-CN"/>
              </w:rPr>
              <w:t>10-15</w:t>
            </w:r>
            <w:r>
              <w:rPr>
                <w:rFonts w:hint="eastAsia" w:ascii="宋体" w:hAnsi="宋体" w:eastAsia="宋体" w:cs="宋体"/>
                <w:b w:val="0"/>
                <w:bCs/>
                <w:color w:val="auto"/>
                <w:kern w:val="0"/>
                <w:sz w:val="21"/>
                <w:szCs w:val="21"/>
                <w:highlight w:val="none"/>
                <w:lang w:eastAsia="zh-CN"/>
              </w:rPr>
              <w:t>分；内容全面、具有一定可行性且适用于本项目实际情况的得</w:t>
            </w:r>
            <w:r>
              <w:rPr>
                <w:rFonts w:hint="eastAsia" w:ascii="宋体" w:hAnsi="宋体" w:eastAsia="宋体" w:cs="宋体"/>
                <w:b w:val="0"/>
                <w:bCs/>
                <w:color w:val="auto"/>
                <w:kern w:val="0"/>
                <w:sz w:val="21"/>
                <w:szCs w:val="21"/>
                <w:highlight w:val="none"/>
                <w:lang w:val="en-US" w:eastAsia="zh-CN"/>
              </w:rPr>
              <w:t>5-9</w:t>
            </w:r>
            <w:r>
              <w:rPr>
                <w:rFonts w:hint="eastAsia" w:ascii="宋体" w:hAnsi="宋体" w:eastAsia="宋体" w:cs="宋体"/>
                <w:b w:val="0"/>
                <w:bCs/>
                <w:color w:val="auto"/>
                <w:kern w:val="0"/>
                <w:sz w:val="21"/>
                <w:szCs w:val="21"/>
                <w:highlight w:val="none"/>
                <w:lang w:eastAsia="zh-CN"/>
              </w:rPr>
              <w:t>分；内容不完全、可行性不强且适用于本项目实际情况的得</w:t>
            </w:r>
            <w:r>
              <w:rPr>
                <w:rFonts w:hint="eastAsia" w:ascii="宋体" w:hAnsi="宋体" w:eastAsia="宋体" w:cs="宋体"/>
                <w:b w:val="0"/>
                <w:bCs/>
                <w:color w:val="auto"/>
                <w:kern w:val="0"/>
                <w:sz w:val="21"/>
                <w:szCs w:val="21"/>
                <w:highlight w:val="none"/>
                <w:lang w:val="en-US" w:eastAsia="zh-CN"/>
              </w:rPr>
              <w:t>1-4</w:t>
            </w:r>
            <w:r>
              <w:rPr>
                <w:rFonts w:hint="eastAsia" w:ascii="宋体" w:hAnsi="宋体" w:eastAsia="宋体" w:cs="宋体"/>
                <w:b w:val="0"/>
                <w:bCs/>
                <w:color w:val="auto"/>
                <w:kern w:val="0"/>
                <w:sz w:val="21"/>
                <w:szCs w:val="21"/>
                <w:highlight w:val="none"/>
                <w:lang w:eastAsia="zh-CN"/>
              </w:rPr>
              <w:t>分；不提供或不适用于本项目不得分。</w:t>
            </w:r>
            <w:r>
              <w:rPr>
                <w:rFonts w:hint="eastAsia" w:ascii="宋体" w:hAnsi="宋体" w:eastAsia="宋体" w:cs="宋体"/>
                <w:b w:val="0"/>
                <w:bCs/>
                <w:color w:val="auto"/>
                <w:kern w:val="0"/>
                <w:sz w:val="21"/>
                <w:szCs w:val="21"/>
                <w:highlight w:val="none"/>
                <w:lang w:val="en-US" w:eastAsia="zh-CN"/>
              </w:rPr>
              <w:t xml:space="preserve"> </w:t>
            </w:r>
          </w:p>
        </w:tc>
      </w:tr>
      <w:tr w14:paraId="712A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86" w:type="dxa"/>
            <w:gridSpan w:val="2"/>
            <w:vMerge w:val="continue"/>
            <w:vAlign w:val="center"/>
          </w:tcPr>
          <w:p w14:paraId="0DBAAD96">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14:paraId="4073278C">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14:paraId="3015D4C7">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提供本项目的测试内容、方法等出具检测报告的处置方案，内容完善，可行性强，满足业主需求得10分，处置方案一般，内容相对完善的得5分，处置方案差，不能满足业主需求的得1分，未提供不得分。</w:t>
            </w:r>
          </w:p>
        </w:tc>
      </w:tr>
      <w:tr w14:paraId="56C1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86" w:type="dxa"/>
            <w:gridSpan w:val="2"/>
            <w:vMerge w:val="continue"/>
            <w:vAlign w:val="center"/>
          </w:tcPr>
          <w:p w14:paraId="061A87D5">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14:paraId="3C074BC6">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14:paraId="3C990912">
            <w:pPr>
              <w:spacing w:before="120" w:after="120" w:line="360" w:lineRule="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FF0000"/>
                <w:kern w:val="0"/>
                <w:sz w:val="21"/>
                <w:szCs w:val="21"/>
                <w:highlight w:val="none"/>
                <w:lang w:val="en-US" w:eastAsia="zh-CN"/>
              </w:rPr>
              <w:t>投标人应响应本次招标项目所有内容，经CNAS认证/CMA认定的能力覆盖全部项目的，得10分，缺一项整体不得分</w:t>
            </w:r>
          </w:p>
        </w:tc>
      </w:tr>
      <w:tr w14:paraId="62A7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14:paraId="7909DE6E">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14:paraId="7AE1906E">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14:paraId="2BCB55BD">
            <w:pPr>
              <w:spacing w:before="120" w:after="120" w:line="360" w:lineRule="auto"/>
              <w:rPr>
                <w:rFonts w:hint="eastAsia" w:ascii="宋体" w:hAnsi="宋体" w:cs="宋体" w:eastAsiaTheme="minorEastAsia"/>
                <w:color w:val="auto"/>
                <w:szCs w:val="21"/>
                <w:lang w:val="en-US" w:eastAsia="zh-CN"/>
              </w:rPr>
            </w:pPr>
            <w:r>
              <w:rPr>
                <w:rFonts w:hint="eastAsia" w:ascii="宋体" w:hAnsi="宋体" w:eastAsia="宋体" w:cs="宋体"/>
                <w:b w:val="0"/>
                <w:bCs/>
                <w:color w:val="auto"/>
                <w:sz w:val="21"/>
                <w:szCs w:val="21"/>
                <w:lang w:val="en-US" w:eastAsia="zh-CN"/>
              </w:rPr>
              <w:t>对投标人提供的人员配备情况进行打分，配备人员经验丰富，实力最强，具有很强的可行性且适用于本项目实际情况的得9-15分；配备人员经验较丰富，实力较强、具有一定可行性且适用于本项目实际情况的得5-8分；配备人员经验一般，实力一般、可行性不强且适用于本项目实际情况的得1-4分；不提供或不适用于本项目不得分。</w:t>
            </w:r>
          </w:p>
        </w:tc>
      </w:tr>
      <w:tr w14:paraId="72B7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14:paraId="67E0984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4008D3C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4D10A7DE">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14:paraId="178505E5">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14:paraId="4C21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14:paraId="669F398A">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4B91473E">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748A8B4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14:paraId="476A5890">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投标人</w:t>
            </w:r>
            <w:r>
              <w:rPr>
                <w:rFonts w:hint="eastAsia" w:ascii="宋体" w:hAnsi="宋体" w:eastAsia="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rPr>
              <w:t>年以来完成的有效检测与质控服务合同，每提供一份合同得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14:paraId="5C0D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14:paraId="132701B9">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14:paraId="5AF2E10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14:paraId="600BF924">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14:paraId="50F3871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14:paraId="168EA626">
            <w:pPr>
              <w:pStyle w:val="17"/>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14:paraId="5E3C9A98">
            <w:pPr>
              <w:pStyle w:val="17"/>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14:paraId="441D523D">
      <w:pPr>
        <w:pStyle w:val="2"/>
        <w:rPr>
          <w:rFonts w:hint="eastAsia"/>
        </w:rPr>
      </w:pPr>
    </w:p>
    <w:p w14:paraId="6AC691AF">
      <w:pPr>
        <w:pStyle w:val="2"/>
        <w:rPr>
          <w:rFonts w:hint="eastAsia"/>
        </w:rPr>
      </w:pPr>
    </w:p>
    <w:p w14:paraId="2A07633F">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B8181CF">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b/>
          <w:bCs/>
          <w:sz w:val="36"/>
          <w:szCs w:val="36"/>
          <w:lang w:val="en-US" w:eastAsia="zh-CN"/>
        </w:rPr>
      </w:pPr>
      <w:r>
        <w:rPr>
          <w:rFonts w:hint="eastAsia"/>
          <w:b/>
          <w:sz w:val="36"/>
          <w:lang w:val="en-US" w:eastAsia="zh-CN"/>
        </w:rPr>
        <w:t>新郑市公立医院</w:t>
      </w:r>
      <w:r>
        <w:rPr>
          <w:b/>
          <w:sz w:val="36"/>
        </w:rPr>
        <w:t>设备检测服务协议</w:t>
      </w:r>
    </w:p>
    <w:p w14:paraId="28E80480">
      <w:pPr>
        <w:pStyle w:val="7"/>
        <w:tabs>
          <w:tab w:val="left" w:pos="7117"/>
        </w:tabs>
        <w:spacing w:before="3"/>
        <w:ind w:left="0"/>
        <w:rPr>
          <w:sz w:val="19"/>
        </w:rPr>
      </w:pPr>
      <w:r>
        <w:rPr>
          <w:rFonts w:hint="eastAsia"/>
          <w:sz w:val="19"/>
        </w:rPr>
        <w:tab/>
      </w:r>
    </w:p>
    <w:p w14:paraId="7EBBC508">
      <w:pPr>
        <w:pStyle w:val="7"/>
        <w:keepNext w:val="0"/>
        <w:keepLines w:val="0"/>
        <w:pageBreakBefore w:val="0"/>
        <w:widowControl w:val="0"/>
        <w:tabs>
          <w:tab w:val="left" w:pos="5269"/>
        </w:tabs>
        <w:kinsoku/>
        <w:wordWrap/>
        <w:overflowPunct/>
        <w:topLinePunct w:val="0"/>
        <w:autoSpaceDE w:val="0"/>
        <w:autoSpaceDN w:val="0"/>
        <w:bidi w:val="0"/>
        <w:adjustRightInd/>
        <w:snapToGrid/>
        <w:ind w:left="0"/>
        <w:textAlignment w:val="auto"/>
        <w:outlineLvl w:val="9"/>
      </w:pPr>
      <w:r>
        <w:t>甲方：</w:t>
      </w:r>
      <w:r>
        <w:rPr>
          <w:rFonts w:hint="eastAsia"/>
          <w:lang w:val="en-US" w:eastAsia="zh-CN"/>
        </w:rPr>
        <w:t xml:space="preserve">新郑市公立人民医院            </w:t>
      </w:r>
      <w:r>
        <w:t>乙方：</w:t>
      </w:r>
    </w:p>
    <w:p w14:paraId="71C728CB">
      <w:pPr>
        <w:pStyle w:val="7"/>
        <w:keepNext w:val="0"/>
        <w:keepLines w:val="0"/>
        <w:pageBreakBefore w:val="0"/>
        <w:widowControl w:val="0"/>
        <w:tabs>
          <w:tab w:val="left" w:pos="5223"/>
        </w:tabs>
        <w:kinsoku/>
        <w:wordWrap/>
        <w:overflowPunct/>
        <w:topLinePunct w:val="0"/>
        <w:autoSpaceDE w:val="0"/>
        <w:autoSpaceDN w:val="0"/>
        <w:bidi w:val="0"/>
        <w:adjustRightInd/>
        <w:snapToGrid/>
        <w:spacing w:before="197"/>
        <w:ind w:left="5040" w:hanging="5040" w:hangingChars="2100"/>
        <w:jc w:val="both"/>
        <w:textAlignment w:val="auto"/>
        <w:outlineLvl w:val="9"/>
        <w:rPr>
          <w:rFonts w:hint="eastAsia" w:eastAsia="宋体"/>
          <w:lang w:val="en-US" w:eastAsia="zh-CN"/>
        </w:rPr>
      </w:pPr>
      <w:r>
        <w:t>地址</w:t>
      </w:r>
      <w:r>
        <w:rPr>
          <w:spacing w:val="-46"/>
        </w:rPr>
        <w:t>：</w:t>
      </w:r>
      <w:r>
        <w:rPr>
          <w:rFonts w:hint="eastAsia"/>
          <w:lang w:val="en-US" w:eastAsia="zh-CN"/>
        </w:rPr>
        <w:t xml:space="preserve"> 新郑市梨河镇中华路           </w:t>
      </w:r>
      <w:r>
        <w:t>地址：</w:t>
      </w:r>
    </w:p>
    <w:p w14:paraId="256660F5">
      <w:pPr>
        <w:pStyle w:val="7"/>
        <w:keepNext w:val="0"/>
        <w:keepLines w:val="0"/>
        <w:pageBreakBefore w:val="0"/>
        <w:widowControl w:val="0"/>
        <w:tabs>
          <w:tab w:val="left" w:pos="5269"/>
        </w:tabs>
        <w:kinsoku/>
        <w:wordWrap/>
        <w:overflowPunct/>
        <w:topLinePunct w:val="0"/>
        <w:autoSpaceDE w:val="0"/>
        <w:autoSpaceDN w:val="0"/>
        <w:bidi w:val="0"/>
        <w:adjustRightInd/>
        <w:snapToGrid/>
        <w:spacing w:before="194"/>
        <w:ind w:left="0"/>
        <w:textAlignment w:val="auto"/>
        <w:outlineLvl w:val="9"/>
      </w:pPr>
      <w:r>
        <w:t>电话：</w:t>
      </w:r>
      <w:r>
        <w:rPr>
          <w:rFonts w:hint="eastAsia"/>
          <w:lang w:val="en-US" w:eastAsia="zh-CN"/>
        </w:rPr>
        <w:t xml:space="preserve">0371-56829119                 </w:t>
      </w:r>
      <w:r>
        <w:t>电话：</w:t>
      </w:r>
    </w:p>
    <w:p w14:paraId="200B425B">
      <w:pPr>
        <w:pStyle w:val="7"/>
        <w:keepNext w:val="0"/>
        <w:keepLines w:val="0"/>
        <w:pageBreakBefore w:val="0"/>
        <w:widowControl w:val="0"/>
        <w:kinsoku/>
        <w:wordWrap/>
        <w:overflowPunct/>
        <w:topLinePunct w:val="0"/>
        <w:autoSpaceDE w:val="0"/>
        <w:autoSpaceDN w:val="0"/>
        <w:bidi w:val="0"/>
        <w:adjustRightInd/>
        <w:snapToGrid/>
        <w:spacing w:line="360" w:lineRule="auto"/>
        <w:ind w:right="358" w:firstLine="480"/>
        <w:textAlignment w:val="auto"/>
      </w:pPr>
    </w:p>
    <w:p w14:paraId="112BD2D7">
      <w:pPr>
        <w:pStyle w:val="7"/>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textAlignment w:val="auto"/>
      </w:pPr>
      <w:r>
        <w:t>依据《中华人民共和国合同法》以及相关法律法规的规定，本着平等自愿、协商一致的原则，经双方友好协商，签订本协议，具体条款如下：</w:t>
      </w:r>
    </w:p>
    <w:p w14:paraId="5CBB396D">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rPr>
          <w:rFonts w:hint="eastAsia" w:eastAsia="宋体"/>
          <w:lang w:val="en-US" w:eastAsia="zh-CN"/>
        </w:rPr>
      </w:pPr>
      <w:bookmarkStart w:id="1" w:name="第一条协议金额"/>
      <w:bookmarkEnd w:id="1"/>
      <w:r>
        <w:t>第一条</w:t>
      </w:r>
      <w:r>
        <w:tab/>
      </w:r>
      <w:r>
        <w:t>协议</w:t>
      </w:r>
      <w:r>
        <w:rPr>
          <w:rFonts w:hint="eastAsia"/>
          <w:lang w:eastAsia="zh-CN"/>
        </w:rPr>
        <w:t>内容</w:t>
      </w:r>
    </w:p>
    <w:tbl>
      <w:tblPr>
        <w:tblStyle w:val="11"/>
        <w:tblW w:w="8045"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5013"/>
      </w:tblGrid>
      <w:tr w14:paraId="57EB3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32" w:type="dxa"/>
            <w:noWrap w:val="0"/>
            <w:vAlign w:val="top"/>
          </w:tcPr>
          <w:p w14:paraId="264A7BBC">
            <w:pPr>
              <w:pStyle w:val="26"/>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项目名称</w:t>
            </w:r>
          </w:p>
        </w:tc>
        <w:tc>
          <w:tcPr>
            <w:tcW w:w="5013" w:type="dxa"/>
            <w:noWrap w:val="0"/>
            <w:vAlign w:val="top"/>
          </w:tcPr>
          <w:p w14:paraId="1528E800">
            <w:pPr>
              <w:pStyle w:val="26"/>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协议总价</w:t>
            </w:r>
          </w:p>
        </w:tc>
      </w:tr>
      <w:tr w14:paraId="045C2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032" w:type="dxa"/>
            <w:noWrap w:val="0"/>
            <w:vAlign w:val="top"/>
          </w:tcPr>
          <w:p w14:paraId="39AED21C">
            <w:pPr>
              <w:pStyle w:val="26"/>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sz w:val="24"/>
              </w:rPr>
              <w:t>医疗设备设备质控检测</w:t>
            </w:r>
          </w:p>
        </w:tc>
        <w:tc>
          <w:tcPr>
            <w:tcW w:w="5013" w:type="dxa"/>
            <w:noWrap w:val="0"/>
            <w:vAlign w:val="top"/>
          </w:tcPr>
          <w:p w14:paraId="0A2B7BCF">
            <w:pPr>
              <w:pStyle w:val="26"/>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rFonts w:ascii="宋体" w:hAnsi="宋体" w:eastAsia="宋体" w:cs="宋体"/>
                <w:color w:val="000000"/>
                <w:sz w:val="24"/>
                <w:szCs w:val="24"/>
                <w:lang w:val="en-US"/>
              </w:rPr>
            </w:pPr>
            <w:r>
              <w:rPr>
                <w:sz w:val="24"/>
              </w:rPr>
              <w:t>人民币（大写）</w:t>
            </w:r>
            <w:r>
              <w:rPr>
                <w:rFonts w:hint="eastAsia"/>
                <w:sz w:val="24"/>
                <w:u w:val="single"/>
                <w:lang w:val="en-US" w:eastAsia="zh-CN"/>
              </w:rPr>
              <w:t>**元整</w:t>
            </w:r>
          </w:p>
          <w:p w14:paraId="61395F7B">
            <w:pPr>
              <w:pStyle w:val="26"/>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rFonts w:hint="eastAsia" w:ascii="宋体" w:hAnsi="宋体" w:eastAsia="宋体" w:cs="宋体"/>
                <w:color w:val="000000"/>
                <w:sz w:val="24"/>
                <w:szCs w:val="24"/>
                <w:lang w:val="en-US"/>
              </w:rPr>
              <w:t xml:space="preserve"> ￥</w:t>
            </w:r>
            <w:r>
              <w:rPr>
                <w:rFonts w:hint="eastAsia" w:cs="宋体"/>
                <w:color w:val="000000"/>
                <w:sz w:val="24"/>
                <w:szCs w:val="24"/>
                <w:u w:val="single"/>
                <w:lang w:val="en-US" w:eastAsia="zh-CN"/>
              </w:rPr>
              <w:t>**</w:t>
            </w:r>
            <w:r>
              <w:rPr>
                <w:rFonts w:hint="eastAsia" w:ascii="宋体" w:hAnsi="宋体" w:eastAsia="宋体" w:cs="宋体"/>
                <w:color w:val="000000"/>
                <w:sz w:val="24"/>
                <w:szCs w:val="24"/>
                <w:lang w:val="en-US"/>
              </w:rPr>
              <w:t>元</w:t>
            </w:r>
          </w:p>
        </w:tc>
      </w:tr>
    </w:tbl>
    <w:p w14:paraId="493290B8">
      <w:pPr>
        <w:pStyle w:val="7"/>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firstLineChars="200"/>
        <w:textAlignment w:val="auto"/>
        <w:outlineLvl w:val="9"/>
        <w:rPr>
          <w:spacing w:val="-3"/>
        </w:rPr>
      </w:pPr>
      <w:r>
        <w:t>本协议总价包括协议第一条及</w:t>
      </w:r>
      <w:r>
        <w:rPr>
          <w:rFonts w:hint="eastAsia"/>
          <w:lang w:eastAsia="zh-CN"/>
        </w:rPr>
        <w:t>服务内容</w:t>
      </w:r>
      <w:r>
        <w:t>中所约定的所有设备质控服务费用（含），除此之外，乙方不得再向甲方收取该项目服务的任何收费（不含</w:t>
      </w:r>
      <w:r>
        <w:rPr>
          <w:rFonts w:hint="eastAsia"/>
          <w:lang w:eastAsia="zh-CN"/>
        </w:rPr>
        <w:t>服务内容和</w:t>
      </w:r>
      <w:r>
        <w:t>清单外的项目）</w:t>
      </w:r>
      <w:r>
        <w:rPr>
          <w:spacing w:val="-14"/>
        </w:rPr>
        <w:t>。</w:t>
      </w:r>
    </w:p>
    <w:p w14:paraId="2B12058A">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2" w:name="第二条工作条件和协作事项"/>
      <w:bookmarkEnd w:id="2"/>
      <w:r>
        <w:t>第二条</w:t>
      </w:r>
      <w:r>
        <w:tab/>
      </w:r>
      <w:r>
        <w:t>工作条件和协作事项</w:t>
      </w:r>
    </w:p>
    <w:p w14:paraId="794474F7">
      <w:pPr>
        <w:pStyle w:val="7"/>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pPr>
      <w:r>
        <w:t>1.双方因为评价需要提供的各项资料应盖有公章，以保证资料的可靠性。</w:t>
      </w:r>
    </w:p>
    <w:p w14:paraId="45851728">
      <w:pPr>
        <w:pStyle w:val="19"/>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rPr>
          <w:rFonts w:hint="eastAsia"/>
          <w:spacing w:val="2"/>
          <w:sz w:val="24"/>
          <w:szCs w:val="24"/>
          <w:u w:val="single"/>
          <w:lang w:val="en-US" w:eastAsia="zh-CN"/>
        </w:rPr>
      </w:pPr>
      <w:r>
        <w:rPr>
          <w:rFonts w:hint="eastAsia"/>
          <w:sz w:val="24"/>
          <w:lang w:val="en-US" w:eastAsia="zh-CN"/>
        </w:rPr>
        <w:t>2.</w:t>
      </w:r>
      <w:r>
        <w:rPr>
          <w:sz w:val="24"/>
          <w:szCs w:val="24"/>
        </w:rPr>
        <w:t>双方联系事项均应以文字形式并有双方联系人签字方式达成。甲方委托代表：</w:t>
      </w:r>
      <w:r>
        <w:rPr>
          <w:rFonts w:hint="eastAsia"/>
          <w:spacing w:val="2"/>
          <w:sz w:val="24"/>
          <w:szCs w:val="24"/>
          <w:u w:val="single"/>
          <w:lang w:val="en-US" w:eastAsia="zh-CN"/>
        </w:rPr>
        <w:t>***</w:t>
      </w:r>
      <w:r>
        <w:rPr>
          <w:spacing w:val="-5"/>
          <w:sz w:val="24"/>
          <w:szCs w:val="24"/>
        </w:rPr>
        <w:t>电话</w:t>
      </w:r>
      <w:r>
        <w:rPr>
          <w:spacing w:val="-5"/>
          <w:sz w:val="24"/>
          <w:szCs w:val="24"/>
          <w:u w:val="single"/>
        </w:rPr>
        <w:t>：</w:t>
      </w:r>
      <w:r>
        <w:rPr>
          <w:rFonts w:hint="eastAsia"/>
          <w:spacing w:val="-5"/>
          <w:sz w:val="24"/>
          <w:szCs w:val="24"/>
          <w:u w:val="single"/>
          <w:lang w:val="en-US" w:eastAsia="zh-CN"/>
        </w:rPr>
        <w:t>******</w:t>
      </w:r>
      <w:r>
        <w:rPr>
          <w:spacing w:val="-14"/>
          <w:sz w:val="24"/>
          <w:szCs w:val="24"/>
        </w:rPr>
        <w:t xml:space="preserve"> </w:t>
      </w:r>
      <w:r>
        <w:rPr>
          <w:sz w:val="24"/>
          <w:szCs w:val="24"/>
        </w:rPr>
        <w:t>作为与乙方的技术联系</w:t>
      </w:r>
      <w:r>
        <w:rPr>
          <w:spacing w:val="-56"/>
          <w:sz w:val="24"/>
          <w:szCs w:val="24"/>
        </w:rPr>
        <w:t>人</w:t>
      </w:r>
      <w:r>
        <w:rPr>
          <w:sz w:val="24"/>
          <w:szCs w:val="24"/>
        </w:rPr>
        <w:t>（对质量控制检测技术熟悉的人员）</w:t>
      </w:r>
      <w:r>
        <w:rPr>
          <w:spacing w:val="1"/>
          <w:sz w:val="24"/>
          <w:szCs w:val="24"/>
        </w:rPr>
        <w:t xml:space="preserve"> </w:t>
      </w:r>
      <w:r>
        <w:rPr>
          <w:sz w:val="24"/>
          <w:szCs w:val="24"/>
        </w:rPr>
        <w:t>乙方指定：</w:t>
      </w:r>
      <w:r>
        <w:rPr>
          <w:rFonts w:hint="eastAsia"/>
          <w:spacing w:val="2"/>
          <w:sz w:val="24"/>
          <w:szCs w:val="24"/>
          <w:u w:val="single"/>
          <w:lang w:val="en-US" w:eastAsia="zh-CN"/>
        </w:rPr>
        <w:t>****</w:t>
      </w:r>
    </w:p>
    <w:p w14:paraId="14D95BC0">
      <w:pPr>
        <w:pStyle w:val="19"/>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pPr>
      <w:r>
        <w:rPr>
          <w:sz w:val="24"/>
          <w:szCs w:val="24"/>
        </w:rPr>
        <w:t>电话</w:t>
      </w:r>
      <w:r>
        <w:rPr>
          <w:sz w:val="24"/>
          <w:szCs w:val="24"/>
          <w:u w:val="single"/>
        </w:rPr>
        <w:t>：</w:t>
      </w:r>
      <w:r>
        <w:rPr>
          <w:rFonts w:hint="eastAsia"/>
          <w:sz w:val="24"/>
          <w:szCs w:val="24"/>
          <w:u w:val="single"/>
          <w:lang w:val="en-US" w:eastAsia="zh-CN"/>
        </w:rPr>
        <w:t>*******</w:t>
      </w:r>
      <w:r>
        <w:rPr>
          <w:sz w:val="24"/>
          <w:szCs w:val="24"/>
        </w:rPr>
        <w:t>作为本项目的商务联系人，负责协议洽谈、发票</w:t>
      </w:r>
      <w:r>
        <w:rPr>
          <w:spacing w:val="-18"/>
          <w:sz w:val="24"/>
          <w:szCs w:val="24"/>
        </w:rPr>
        <w:t>、</w:t>
      </w:r>
      <w:r>
        <w:rPr>
          <w:sz w:val="24"/>
          <w:szCs w:val="24"/>
        </w:rPr>
        <w:t>款项结算等商务事宜。</w:t>
      </w:r>
    </w:p>
    <w:p w14:paraId="60B21CB5">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3" w:name="第三条验收标准和方式"/>
      <w:bookmarkEnd w:id="3"/>
      <w:r>
        <w:t>第三条</w:t>
      </w:r>
      <w:r>
        <w:tab/>
      </w:r>
      <w:r>
        <w:t>验收标准和方式</w:t>
      </w:r>
    </w:p>
    <w:p w14:paraId="1C1D5A20">
      <w:pPr>
        <w:pStyle w:val="7"/>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jc w:val="both"/>
        <w:textAlignment w:val="auto"/>
      </w:pPr>
      <w:r>
        <w:t>协议签订后，甲方指派专人根据乙方的工作进度配合乙方进行仪器质控检测。协议范围内的甲方所属的所有医用设备检测结束后，乙方依据相关项目校准规范提供经甲方确认的的检测报告后由甲方组织人员对服务项目进行验收。</w:t>
      </w:r>
    </w:p>
    <w:p w14:paraId="04E196FB">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105" w:leftChars="50" w:right="105" w:rightChars="50"/>
        <w:jc w:val="both"/>
        <w:textAlignment w:val="auto"/>
        <w:rPr>
          <w:b/>
          <w:sz w:val="24"/>
        </w:rPr>
      </w:pPr>
      <w:r>
        <w:rPr>
          <w:b/>
          <w:sz w:val="24"/>
        </w:rPr>
        <w:t>技术服务费及其支付方式</w:t>
      </w:r>
    </w:p>
    <w:p w14:paraId="674335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05" w:leftChars="50" w:right="105" w:rightChars="50"/>
        <w:jc w:val="both"/>
        <w:textAlignment w:val="auto"/>
        <w:rPr>
          <w:rFonts w:hint="eastAsia"/>
          <w:sz w:val="24"/>
          <w:lang w:val="en-US" w:eastAsia="zh-CN"/>
        </w:rPr>
      </w:pPr>
      <w:r>
        <w:rPr>
          <w:rFonts w:hint="eastAsia"/>
          <w:sz w:val="24"/>
          <w:lang w:val="en-US" w:eastAsia="zh-CN"/>
        </w:rPr>
        <w:t>1.</w:t>
      </w:r>
      <w:r>
        <w:rPr>
          <w:sz w:val="24"/>
        </w:rPr>
        <w:t>协议有效期：</w:t>
      </w:r>
      <w:r>
        <w:rPr>
          <w:sz w:val="24"/>
          <w:u w:val="single"/>
        </w:rPr>
        <w:t>壹</w:t>
      </w:r>
      <w:r>
        <w:rPr>
          <w:sz w:val="24"/>
        </w:rPr>
        <w:t>年</w:t>
      </w:r>
    </w:p>
    <w:p w14:paraId="498D60D3">
      <w:pPr>
        <w:pStyle w:val="19"/>
        <w:keepNext w:val="0"/>
        <w:keepLines w:val="0"/>
        <w:pageBreakBefore w:val="0"/>
        <w:widowControl w:val="0"/>
        <w:numPr>
          <w:ilvl w:val="0"/>
          <w:numId w:val="0"/>
        </w:numPr>
        <w:tabs>
          <w:tab w:val="left" w:pos="472"/>
        </w:tabs>
        <w:kinsoku/>
        <w:overflowPunct/>
        <w:topLinePunct w:val="0"/>
        <w:autoSpaceDE w:val="0"/>
        <w:autoSpaceDN w:val="0"/>
        <w:bidi w:val="0"/>
        <w:adjustRightInd/>
        <w:snapToGrid/>
        <w:spacing w:before="0" w:after="0" w:line="396" w:lineRule="auto"/>
        <w:ind w:left="105" w:leftChars="50" w:right="105" w:rightChars="50"/>
        <w:jc w:val="both"/>
        <w:textAlignment w:val="auto"/>
        <w:rPr>
          <w:rFonts w:hint="eastAsia"/>
          <w:spacing w:val="-3"/>
          <w:sz w:val="24"/>
          <w:lang w:eastAsia="zh-CN"/>
        </w:rPr>
      </w:pPr>
      <w:r>
        <w:rPr>
          <w:rFonts w:hint="eastAsia"/>
          <w:sz w:val="24"/>
          <w:lang w:val="en-US" w:eastAsia="zh-CN"/>
        </w:rPr>
        <w:t>2.</w:t>
      </w:r>
      <w:r>
        <w:rPr>
          <w:sz w:val="24"/>
        </w:rPr>
        <w:t>付款方式：将甲方指定的所有需要进行质量控制检测的设备进行检测结束后，出具</w:t>
      </w:r>
      <w:r>
        <w:rPr>
          <w:spacing w:val="-3"/>
          <w:sz w:val="24"/>
        </w:rPr>
        <w:t>准确完整的校准证书或检测报告，</w:t>
      </w:r>
      <w:r>
        <w:rPr>
          <w:rFonts w:hint="eastAsia"/>
          <w:spacing w:val="-3"/>
          <w:sz w:val="24"/>
          <w:lang w:val="en-US" w:eastAsia="zh-CN"/>
        </w:rPr>
        <w:t>在甲</w:t>
      </w:r>
      <w:r>
        <w:rPr>
          <w:spacing w:val="-3"/>
          <w:sz w:val="24"/>
        </w:rPr>
        <w:t>方支付本年度技术服务费后，乙方第一时间将证书发放（邮寄）至甲方负责人</w:t>
      </w:r>
      <w:r>
        <w:rPr>
          <w:rFonts w:hint="eastAsia"/>
          <w:spacing w:val="-3"/>
          <w:sz w:val="24"/>
          <w:lang w:eastAsia="zh-CN"/>
        </w:rPr>
        <w:t>。</w:t>
      </w:r>
    </w:p>
    <w:p w14:paraId="54F385F9">
      <w:pPr>
        <w:pStyle w:val="19"/>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right="0" w:rightChars="0"/>
        <w:jc w:val="both"/>
        <w:textAlignment w:val="auto"/>
        <w:rPr>
          <w:sz w:val="24"/>
        </w:rPr>
      </w:pPr>
      <w:r>
        <w:rPr>
          <w:rFonts w:hint="eastAsia"/>
          <w:sz w:val="24"/>
          <w:lang w:val="en-US" w:eastAsia="zh-CN"/>
        </w:rPr>
        <w:t>3.</w:t>
      </w:r>
      <w:r>
        <w:rPr>
          <w:sz w:val="24"/>
        </w:rPr>
        <w:t>支付金额：</w:t>
      </w:r>
      <w:r>
        <w:rPr>
          <w:rFonts w:hint="eastAsia"/>
          <w:sz w:val="24"/>
          <w:lang w:val="en-US"/>
        </w:rPr>
        <w:t>以实际检测设备的种类、数量和频次确定实际支付的服务费总金额。</w:t>
      </w:r>
    </w:p>
    <w:p w14:paraId="71AF6934">
      <w:pPr>
        <w:pStyle w:val="19"/>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户</w:t>
      </w:r>
      <w:r>
        <w:rPr>
          <w:rFonts w:hint="eastAsia"/>
          <w:b/>
          <w:bCs/>
          <w:sz w:val="24"/>
          <w:lang w:val="en-US"/>
        </w:rPr>
        <w:tab/>
      </w:r>
      <w:r>
        <w:rPr>
          <w:rFonts w:hint="eastAsia"/>
          <w:b/>
          <w:bCs/>
          <w:sz w:val="24"/>
          <w:lang w:val="en-US"/>
        </w:rPr>
        <w:t xml:space="preserve">名: </w:t>
      </w:r>
      <w:bookmarkStart w:id="4" w:name="帐号:_9050_1880_1004_4659_6"/>
      <w:bookmarkEnd w:id="4"/>
    </w:p>
    <w:p w14:paraId="451658A5">
      <w:pPr>
        <w:pStyle w:val="19"/>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rFonts w:hint="eastAsia"/>
          <w:b/>
          <w:bCs/>
          <w:sz w:val="24"/>
          <w:lang w:val="en-US"/>
        </w:rPr>
      </w:pPr>
      <w:r>
        <w:rPr>
          <w:rFonts w:hint="eastAsia"/>
          <w:b/>
          <w:bCs/>
          <w:sz w:val="24"/>
          <w:lang w:val="en-US"/>
        </w:rPr>
        <w:t>帐</w:t>
      </w:r>
      <w:r>
        <w:rPr>
          <w:rFonts w:hint="eastAsia"/>
          <w:b/>
          <w:bCs/>
          <w:sz w:val="24"/>
          <w:lang w:val="en-US"/>
        </w:rPr>
        <w:tab/>
      </w:r>
      <w:r>
        <w:rPr>
          <w:rFonts w:hint="eastAsia"/>
          <w:b/>
          <w:bCs/>
          <w:sz w:val="24"/>
          <w:lang w:val="en-US"/>
        </w:rPr>
        <w:t xml:space="preserve">号: </w:t>
      </w:r>
    </w:p>
    <w:p w14:paraId="404168E9">
      <w:pPr>
        <w:pStyle w:val="19"/>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开户行：</w:t>
      </w:r>
    </w:p>
    <w:p w14:paraId="716CA80E">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第五条</w:t>
      </w:r>
      <w:r>
        <w:tab/>
      </w:r>
      <w:r>
        <w:t>违约责任和违约金</w:t>
      </w:r>
    </w:p>
    <w:p w14:paraId="5396934C">
      <w:pPr>
        <w:pStyle w:val="19"/>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right="0" w:rightChars="0"/>
        <w:textAlignment w:val="auto"/>
        <w:rPr>
          <w:sz w:val="24"/>
        </w:rPr>
      </w:pPr>
      <w:r>
        <w:rPr>
          <w:rFonts w:hint="eastAsia"/>
          <w:sz w:val="24"/>
          <w:lang w:val="en-US" w:eastAsia="zh-CN"/>
        </w:rPr>
        <w:t>1.</w:t>
      </w:r>
      <w:r>
        <w:rPr>
          <w:sz w:val="24"/>
        </w:rPr>
        <w:t>甲乙双方应严格遵守本协议，不履行协议的，应承担违约责任。</w:t>
      </w:r>
    </w:p>
    <w:p w14:paraId="306DA617">
      <w:pPr>
        <w:pStyle w:val="19"/>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Chars="0" w:right="0" w:rightChars="0"/>
        <w:textAlignment w:val="auto"/>
        <w:rPr>
          <w:sz w:val="24"/>
        </w:rPr>
      </w:pPr>
      <w:r>
        <w:rPr>
          <w:rFonts w:hint="eastAsia"/>
          <w:spacing w:val="-3"/>
          <w:sz w:val="24"/>
          <w:lang w:val="en-US" w:eastAsia="zh-CN"/>
        </w:rPr>
        <w:t>2.</w:t>
      </w:r>
      <w:r>
        <w:rPr>
          <w:spacing w:val="-3"/>
          <w:sz w:val="24"/>
        </w:rPr>
        <w:t>甲方违反本协议第三条导致影响工作进度或违反第五条逾期付款的，应按日向乙方</w:t>
      </w:r>
      <w:r>
        <w:rPr>
          <w:spacing w:val="-9"/>
          <w:sz w:val="24"/>
        </w:rPr>
        <w:t xml:space="preserve">支付违约金，每日支付技术服务费总额的 </w:t>
      </w:r>
      <w:r>
        <w:rPr>
          <w:sz w:val="24"/>
        </w:rPr>
        <w:t>1%。</w:t>
      </w:r>
    </w:p>
    <w:p w14:paraId="1104F0E9">
      <w:pPr>
        <w:pStyle w:val="19"/>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left="-3" w:leftChars="0" w:right="0" w:rightChars="0"/>
        <w:textAlignment w:val="auto"/>
        <w:rPr>
          <w:sz w:val="24"/>
        </w:rPr>
      </w:pPr>
      <w:r>
        <w:rPr>
          <w:rFonts w:hint="eastAsia"/>
          <w:spacing w:val="-8"/>
          <w:sz w:val="24"/>
          <w:lang w:val="en-US" w:eastAsia="zh-CN"/>
        </w:rPr>
        <w:t>3.</w:t>
      </w:r>
      <w:r>
        <w:rPr>
          <w:spacing w:val="-8"/>
          <w:sz w:val="24"/>
        </w:rPr>
        <w:t>因乙方原因延迟交付报告，应当按日向甲方支付违约金，每日支付技术服务费总额的1%，</w:t>
      </w:r>
      <w:r>
        <w:rPr>
          <w:spacing w:val="-21"/>
          <w:sz w:val="24"/>
        </w:rPr>
        <w:t xml:space="preserve">乙方逾 </w:t>
      </w:r>
      <w:r>
        <w:rPr>
          <w:sz w:val="24"/>
          <w:u w:val="single"/>
        </w:rPr>
        <w:t>30</w:t>
      </w:r>
      <w:r>
        <w:rPr>
          <w:spacing w:val="-8"/>
          <w:sz w:val="24"/>
        </w:rPr>
        <w:t xml:space="preserve"> 日未交付报告，甲方有权终止协议。</w:t>
      </w:r>
    </w:p>
    <w:p w14:paraId="6DBF5A06">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第六条</w:t>
      </w:r>
      <w:r>
        <w:tab/>
      </w:r>
      <w:r>
        <w:t>争议的解决方法</w:t>
      </w:r>
    </w:p>
    <w:p w14:paraId="4A19A887">
      <w:pPr>
        <w:pStyle w:val="7"/>
        <w:keepNext w:val="0"/>
        <w:keepLines w:val="0"/>
        <w:pageBreakBefore w:val="0"/>
        <w:widowControl w:val="0"/>
        <w:kinsoku/>
        <w:wordWrap/>
        <w:overflowPunct/>
        <w:topLinePunct w:val="0"/>
        <w:autoSpaceDE w:val="0"/>
        <w:autoSpaceDN w:val="0"/>
        <w:bidi w:val="0"/>
        <w:adjustRightInd/>
        <w:snapToGrid/>
        <w:spacing w:line="360" w:lineRule="auto"/>
        <w:ind w:left="0" w:right="0" w:firstLine="480"/>
        <w:textAlignment w:val="auto"/>
      </w:pPr>
      <w:r>
        <w:rPr>
          <w:spacing w:val="-8"/>
        </w:rPr>
        <w:t>双方因履行本协议而发生的争议，应双方协商解决。协商不成的，按以下第</w:t>
      </w:r>
      <w:r>
        <w:rPr>
          <w:spacing w:val="-9"/>
          <w:u w:val="single"/>
        </w:rPr>
        <w:t>（2）</w:t>
      </w:r>
      <w:r>
        <w:t>种方式处理：</w:t>
      </w:r>
    </w:p>
    <w:p w14:paraId="08A38965">
      <w:pPr>
        <w:pStyle w:val="19"/>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line="360" w:lineRule="auto"/>
        <w:ind w:left="0" w:leftChars="0" w:right="0"/>
        <w:textAlignment w:val="auto"/>
      </w:pPr>
      <w:r>
        <w:rPr>
          <w:rFonts w:hint="eastAsia"/>
          <w:sz w:val="24"/>
          <w:lang w:eastAsia="zh-CN"/>
        </w:rPr>
        <w:t>（</w:t>
      </w:r>
      <w:r>
        <w:rPr>
          <w:rFonts w:hint="eastAsia"/>
          <w:sz w:val="24"/>
          <w:lang w:val="en-US" w:eastAsia="zh-CN"/>
        </w:rPr>
        <w:t>1</w:t>
      </w:r>
      <w:r>
        <w:rPr>
          <w:rFonts w:hint="eastAsia"/>
          <w:sz w:val="24"/>
          <w:lang w:eastAsia="zh-CN"/>
        </w:rPr>
        <w:t>）</w:t>
      </w:r>
      <w:r>
        <w:rPr>
          <w:sz w:val="24"/>
        </w:rPr>
        <w:t>提交郑州市仲裁委员会仲裁；</w:t>
      </w:r>
    </w:p>
    <w:p w14:paraId="0B6C03F4">
      <w:pPr>
        <w:pStyle w:val="19"/>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leftChars="0" w:right="0" w:rightChars="0"/>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依法向甲方所在地人民法院起诉</w:t>
      </w:r>
    </w:p>
    <w:p w14:paraId="652B2E19">
      <w:pPr>
        <w:pStyle w:val="19"/>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right="0" w:rightChars="0"/>
        <w:textAlignment w:val="auto"/>
        <w:rPr>
          <w:b/>
        </w:rPr>
      </w:pPr>
      <w:r>
        <w:rPr>
          <w:b/>
          <w:sz w:val="24"/>
        </w:rPr>
        <w:t>第七条</w:t>
      </w:r>
      <w:r>
        <w:rPr>
          <w:b/>
          <w:sz w:val="24"/>
        </w:rPr>
        <w:tab/>
      </w:r>
      <w:r>
        <w:rPr>
          <w:b/>
          <w:sz w:val="24"/>
        </w:rPr>
        <w:t>保密约定</w:t>
      </w:r>
    </w:p>
    <w:p w14:paraId="0A9CA571">
      <w:pPr>
        <w:pStyle w:val="19"/>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1.</w:t>
      </w:r>
      <w:r>
        <w:rPr>
          <w:spacing w:val="-5"/>
          <w:sz w:val="24"/>
        </w:rPr>
        <w:t>甲方不得向第三方透露乙方检测过程中的技术和经营信息；检测报告仅限向相关行政部门提交和内部归档。</w:t>
      </w:r>
    </w:p>
    <w:p w14:paraId="1B857496">
      <w:pPr>
        <w:pStyle w:val="19"/>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2.</w:t>
      </w:r>
      <w:r>
        <w:rPr>
          <w:spacing w:val="-5"/>
          <w:sz w:val="24"/>
        </w:rPr>
        <w:t>乙方除向相关行政部门提交和内部归档外，不得向第三方透露甲方提供的所有资料和检测报告内容。</w:t>
      </w:r>
    </w:p>
    <w:p w14:paraId="5F4C6262">
      <w:pPr>
        <w:pStyle w:val="19"/>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spacing w:val="-18"/>
          <w:sz w:val="24"/>
        </w:rPr>
      </w:pPr>
      <w:r>
        <w:rPr>
          <w:rFonts w:hint="eastAsia"/>
          <w:sz w:val="24"/>
          <w:lang w:val="en-US" w:eastAsia="zh-CN"/>
        </w:rPr>
        <w:t>3.</w:t>
      </w:r>
      <w:r>
        <w:rPr>
          <w:sz w:val="24"/>
        </w:rPr>
        <w:t>违约方按我国相关法律承担泄密造成的经济赔偿责任</w:t>
      </w:r>
      <w:r>
        <w:rPr>
          <w:spacing w:val="-18"/>
          <w:sz w:val="24"/>
        </w:rPr>
        <w:t>。</w:t>
      </w:r>
    </w:p>
    <w:p w14:paraId="30473761">
      <w:pPr>
        <w:pStyle w:val="19"/>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b/>
        </w:rPr>
      </w:pPr>
      <w:r>
        <w:rPr>
          <w:b/>
          <w:sz w:val="24"/>
        </w:rPr>
        <w:t>第八条</w:t>
      </w:r>
      <w:r>
        <w:rPr>
          <w:b/>
          <w:sz w:val="24"/>
        </w:rPr>
        <w:tab/>
      </w:r>
      <w:r>
        <w:rPr>
          <w:b/>
          <w:sz w:val="24"/>
        </w:rPr>
        <w:t>诚信廉洁约定</w:t>
      </w:r>
    </w:p>
    <w:p w14:paraId="7B6D7CC5">
      <w:pPr>
        <w:pStyle w:val="7"/>
        <w:keepNext w:val="0"/>
        <w:keepLines w:val="0"/>
        <w:pageBreakBefore w:val="0"/>
        <w:widowControl w:val="0"/>
        <w:kinsoku/>
        <w:wordWrap/>
        <w:overflowPunct/>
        <w:topLinePunct w:val="0"/>
        <w:autoSpaceDE w:val="0"/>
        <w:autoSpaceDN w:val="0"/>
        <w:bidi w:val="0"/>
        <w:adjustRightInd/>
        <w:snapToGrid/>
        <w:spacing w:line="360" w:lineRule="auto"/>
        <w:ind w:left="0" w:right="0" w:firstLine="480"/>
        <w:jc w:val="both"/>
        <w:textAlignment w:val="auto"/>
      </w:pPr>
      <w:r>
        <w:t>签约双方和与本协议有关的人员都应廉洁自律、约束自己，遵守法律法规，保证协议的正常履行，不得以非法手段诱骗、欺诈、刁难对方。双方有关人员不得搞宴请、送礼、甚至贿赂对方有关人员。</w:t>
      </w:r>
    </w:p>
    <w:p w14:paraId="03CA4FDF">
      <w:pPr>
        <w:pStyle w:val="3"/>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right="0"/>
        <w:jc w:val="both"/>
        <w:textAlignment w:val="auto"/>
        <w:rPr>
          <w:spacing w:val="3"/>
        </w:rPr>
      </w:pPr>
      <w:bookmarkStart w:id="5" w:name="第九条__本协议一式__份，甲方__份，乙方__份，具有同等法律效力，并在甲乙双"/>
      <w:bookmarkEnd w:id="5"/>
      <w:r>
        <w:rPr>
          <w:spacing w:val="3"/>
        </w:rPr>
        <w:t>本协议一式</w:t>
      </w:r>
      <w:r>
        <w:rPr>
          <w:rFonts w:hint="eastAsia"/>
          <w:spacing w:val="3"/>
          <w:u w:val="single"/>
          <w:lang w:val="en-US" w:eastAsia="zh-CN"/>
        </w:rPr>
        <w:t>伍</w:t>
      </w:r>
      <w:r>
        <w:rPr>
          <w:spacing w:val="4"/>
        </w:rPr>
        <w:t>份，甲方</w:t>
      </w:r>
      <w:r>
        <w:rPr>
          <w:rFonts w:hint="eastAsia"/>
          <w:spacing w:val="4"/>
          <w:u w:val="single"/>
          <w:lang w:val="en-US" w:eastAsia="zh-CN"/>
        </w:rPr>
        <w:t>肆</w:t>
      </w:r>
      <w:r>
        <w:rPr>
          <w:spacing w:val="4"/>
        </w:rPr>
        <w:t>份，乙</w:t>
      </w:r>
      <w:r>
        <w:rPr>
          <w:rFonts w:hint="eastAsia"/>
          <w:i w:val="0"/>
          <w:iCs w:val="0"/>
          <w:spacing w:val="4"/>
          <w:u w:val="single"/>
          <w:lang w:val="en-US" w:eastAsia="zh-CN"/>
        </w:rPr>
        <w:t>壹</w:t>
      </w:r>
      <w:r>
        <w:rPr>
          <w:spacing w:val="3"/>
        </w:rPr>
        <w:t>份，具有同等法律效力，并在甲乙双方签字盖章后生效。</w:t>
      </w:r>
    </w:p>
    <w:p w14:paraId="2E15780F">
      <w:pPr>
        <w:numPr>
          <w:ilvl w:val="0"/>
          <w:numId w:val="9"/>
        </w:numPr>
        <w:spacing w:line="360" w:lineRule="auto"/>
        <w:ind w:left="0" w:leftChars="0" w:firstLine="0" w:firstLineChars="0"/>
        <w:rPr>
          <w:rFonts w:hint="eastAsia" w:ascii="宋体" w:hAnsi="宋体" w:eastAsia="宋体" w:cs="宋体"/>
          <w:b/>
          <w:bCs/>
          <w:spacing w:val="3"/>
          <w:sz w:val="24"/>
          <w:szCs w:val="24"/>
          <w:lang w:val="en-US" w:eastAsia="zh-CN" w:bidi="zh-CN"/>
        </w:rPr>
      </w:pPr>
      <w:r>
        <w:rPr>
          <w:rFonts w:hint="eastAsia" w:ascii="宋体" w:hAnsi="宋体" w:eastAsia="宋体" w:cs="宋体"/>
          <w:b/>
          <w:bCs/>
          <w:spacing w:val="3"/>
          <w:sz w:val="24"/>
          <w:szCs w:val="24"/>
          <w:lang w:val="en-US" w:eastAsia="zh-CN" w:bidi="zh-CN"/>
        </w:rPr>
        <w:t>附则</w:t>
      </w:r>
    </w:p>
    <w:p w14:paraId="246F1FF5">
      <w:pPr>
        <w:numPr>
          <w:ilvl w:val="0"/>
          <w:numId w:val="0"/>
        </w:numPr>
        <w:spacing w:line="360" w:lineRule="auto"/>
        <w:ind w:firstLine="480" w:firstLineChars="200"/>
        <w:rPr>
          <w:rFonts w:hint="eastAsia"/>
          <w:b/>
          <w:bCs/>
          <w:sz w:val="32"/>
          <w:szCs w:val="32"/>
          <w:lang w:val="en-US"/>
        </w:rPr>
      </w:pPr>
      <w:r>
        <w:rPr>
          <w:rFonts w:hint="eastAsia" w:ascii="宋体" w:hAnsi="宋体" w:eastAsia="宋体" w:cs="宋体"/>
          <w:sz w:val="24"/>
          <w:szCs w:val="24"/>
          <w:lang w:val="en-US" w:eastAsia="zh-CN" w:bidi="zh-CN"/>
        </w:rPr>
        <w:t>本合同未尽事宜，双方应本着友好协商的精神，根据本合同书确定的原则，从实际需要出发，达成协议，所作的补充协议书具有与本合同书同等的法律效力。双方签订的《新郑市公立人民医院药房自动化设备维保服务》合同附件及形成本项目的招标文件、投标文件、《中标通知书》均为本合同不可分割的组成部分，与本合同具有同等的法律效力</w:t>
      </w:r>
    </w:p>
    <w:p w14:paraId="6CFF48A4">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p>
    <w:p w14:paraId="0341153F">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r>
        <w:rPr>
          <w:rFonts w:hint="eastAsia"/>
          <w:b/>
          <w:bCs/>
          <w:sz w:val="32"/>
          <w:szCs w:val="32"/>
          <w:lang w:val="en-US"/>
        </w:rPr>
        <w:t>设备检测项目清单</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619"/>
        <w:gridCol w:w="2131"/>
        <w:gridCol w:w="2131"/>
      </w:tblGrid>
      <w:tr w14:paraId="14EC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14:paraId="7AE26407">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2619" w:type="dxa"/>
            <w:noWrap w:val="0"/>
            <w:vAlign w:val="top"/>
          </w:tcPr>
          <w:p w14:paraId="701CF447">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检验设备</w:t>
            </w:r>
          </w:p>
        </w:tc>
        <w:tc>
          <w:tcPr>
            <w:tcW w:w="2131" w:type="dxa"/>
            <w:noWrap w:val="0"/>
            <w:vAlign w:val="top"/>
          </w:tcPr>
          <w:p w14:paraId="47135B9B">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检测数量</w:t>
            </w:r>
          </w:p>
        </w:tc>
        <w:tc>
          <w:tcPr>
            <w:tcW w:w="2131" w:type="dxa"/>
            <w:noWrap w:val="0"/>
            <w:vAlign w:val="top"/>
          </w:tcPr>
          <w:p w14:paraId="61581868">
            <w:pPr>
              <w:keepNext w:val="0"/>
              <w:keepLines w:val="0"/>
              <w:pageBreakBefore w:val="0"/>
              <w:kinsoku/>
              <w:overflowPunct/>
              <w:topLinePunct w:val="0"/>
              <w:autoSpaceDE w:val="0"/>
              <w:autoSpaceDN w:val="0"/>
              <w:bidi w:val="0"/>
              <w:adjustRightInd/>
              <w:snapToGrid/>
              <w:spacing w:line="393" w:lineRule="auto"/>
              <w:ind w:right="0"/>
              <w:jc w:val="center"/>
              <w:rPr>
                <w:rFonts w:hint="default" w:eastAsia="宋体"/>
                <w:b/>
                <w:bCs/>
                <w:sz w:val="24"/>
                <w:szCs w:val="24"/>
                <w:vertAlign w:val="baseline"/>
                <w:lang w:val="en-US" w:eastAsia="zh-CN"/>
              </w:rPr>
            </w:pPr>
            <w:r>
              <w:rPr>
                <w:rFonts w:hint="eastAsia"/>
                <w:b/>
                <w:bCs/>
                <w:sz w:val="24"/>
                <w:szCs w:val="24"/>
                <w:vertAlign w:val="baseline"/>
                <w:lang w:val="en-US" w:eastAsia="zh-CN"/>
              </w:rPr>
              <w:t>频次/年</w:t>
            </w:r>
          </w:p>
        </w:tc>
      </w:tr>
      <w:tr w14:paraId="2C83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14:paraId="0ED17651">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c>
          <w:tcPr>
            <w:tcW w:w="2619" w:type="dxa"/>
            <w:noWrap w:val="0"/>
            <w:vAlign w:val="center"/>
          </w:tcPr>
          <w:p w14:paraId="5EE8D434">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center"/>
          </w:tcPr>
          <w:p w14:paraId="13316987">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top"/>
          </w:tcPr>
          <w:p w14:paraId="7CD6D43A">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r>
    </w:tbl>
    <w:p w14:paraId="5A94AEF6">
      <w:pPr>
        <w:keepNext w:val="0"/>
        <w:keepLines w:val="0"/>
        <w:pageBreakBefore w:val="0"/>
        <w:kinsoku/>
        <w:overflowPunct/>
        <w:topLinePunct w:val="0"/>
        <w:autoSpaceDE w:val="0"/>
        <w:autoSpaceDN w:val="0"/>
        <w:bidi w:val="0"/>
        <w:adjustRightInd/>
        <w:snapToGrid/>
        <w:spacing w:line="393" w:lineRule="auto"/>
        <w:ind w:left="0" w:right="0"/>
        <w:jc w:val="both"/>
      </w:pPr>
      <w:r>
        <w:rPr>
          <w:rFonts w:hint="eastAsia"/>
          <w:b/>
          <w:bCs/>
          <w:sz w:val="32"/>
          <w:szCs w:val="32"/>
          <w:lang w:val="en-US"/>
        </w:rPr>
        <w:t xml:space="preserve">  </w:t>
      </w:r>
      <w:r>
        <w:rPr>
          <w:rFonts w:hint="eastAsia"/>
          <w:b/>
          <w:bCs/>
          <w:sz w:val="24"/>
          <w:szCs w:val="24"/>
          <w:lang w:val="en-US"/>
        </w:rPr>
        <w:t xml:space="preserve">               </w:t>
      </w:r>
    </w:p>
    <w:p w14:paraId="08686609">
      <w:pPr>
        <w:pStyle w:val="7"/>
        <w:keepNext w:val="0"/>
        <w:keepLines w:val="0"/>
        <w:pageBreakBefore w:val="0"/>
        <w:tabs>
          <w:tab w:val="left" w:pos="829"/>
          <w:tab w:val="left" w:pos="4789"/>
          <w:tab w:val="left" w:pos="5509"/>
        </w:tabs>
        <w:kinsoku/>
        <w:overflowPunct/>
        <w:topLinePunct w:val="0"/>
        <w:autoSpaceDE w:val="0"/>
        <w:autoSpaceDN w:val="0"/>
        <w:bidi w:val="0"/>
        <w:adjustRightInd/>
        <w:snapToGrid/>
        <w:spacing w:before="66"/>
        <w:ind w:left="0" w:right="0"/>
      </w:pPr>
      <w:r>
        <w:t>甲方：</w:t>
      </w:r>
      <w:r>
        <w:rPr>
          <w:rFonts w:hint="eastAsia"/>
          <w:lang w:val="en-US" w:eastAsia="zh-CN"/>
        </w:rPr>
        <w:t xml:space="preserve">新郑市公立人民医院              </w:t>
      </w:r>
      <w:r>
        <w:t>乙方：河南省中联检测技术有限公司</w:t>
      </w:r>
    </w:p>
    <w:p w14:paraId="1FC59556">
      <w:pPr>
        <w:pStyle w:val="7"/>
        <w:keepNext w:val="0"/>
        <w:keepLines w:val="0"/>
        <w:pageBreakBefore w:val="0"/>
        <w:kinsoku/>
        <w:overflowPunct/>
        <w:topLinePunct w:val="0"/>
        <w:autoSpaceDE w:val="0"/>
        <w:autoSpaceDN w:val="0"/>
        <w:bidi w:val="0"/>
        <w:adjustRightInd/>
        <w:snapToGrid/>
        <w:spacing w:before="6"/>
        <w:ind w:left="0" w:right="0"/>
        <w:rPr>
          <w:sz w:val="25"/>
        </w:rPr>
      </w:pPr>
    </w:p>
    <w:p w14:paraId="36F50F07">
      <w:pPr>
        <w:pStyle w:val="7"/>
        <w:keepNext w:val="0"/>
        <w:keepLines w:val="0"/>
        <w:pageBreakBefore w:val="0"/>
        <w:tabs>
          <w:tab w:val="left" w:pos="5509"/>
        </w:tabs>
        <w:kinsoku/>
        <w:overflowPunct/>
        <w:topLinePunct w:val="0"/>
        <w:autoSpaceDE w:val="0"/>
        <w:autoSpaceDN w:val="0"/>
        <w:bidi w:val="0"/>
        <w:adjustRightInd/>
        <w:snapToGrid/>
        <w:ind w:left="0" w:right="0"/>
      </w:pPr>
      <w:r>
        <w:t>（盖章）</w:t>
      </w:r>
      <w:r>
        <w:tab/>
      </w:r>
      <w:r>
        <w:t>（盖章）</w:t>
      </w:r>
    </w:p>
    <w:p w14:paraId="6AD12E66">
      <w:pPr>
        <w:pStyle w:val="7"/>
        <w:keepNext w:val="0"/>
        <w:keepLines w:val="0"/>
        <w:pageBreakBefore w:val="0"/>
        <w:kinsoku/>
        <w:overflowPunct/>
        <w:topLinePunct w:val="0"/>
        <w:autoSpaceDE w:val="0"/>
        <w:autoSpaceDN w:val="0"/>
        <w:bidi w:val="0"/>
        <w:adjustRightInd/>
        <w:snapToGrid/>
        <w:spacing w:before="3"/>
        <w:ind w:left="0" w:right="0"/>
        <w:rPr>
          <w:sz w:val="25"/>
        </w:rPr>
      </w:pPr>
    </w:p>
    <w:p w14:paraId="24A9752D">
      <w:pPr>
        <w:pStyle w:val="7"/>
        <w:keepNext w:val="0"/>
        <w:keepLines w:val="0"/>
        <w:pageBreakBefore w:val="0"/>
        <w:tabs>
          <w:tab w:val="left" w:pos="4789"/>
        </w:tabs>
        <w:kinsoku/>
        <w:overflowPunct/>
        <w:topLinePunct w:val="0"/>
        <w:autoSpaceDE w:val="0"/>
        <w:autoSpaceDN w:val="0"/>
        <w:bidi w:val="0"/>
        <w:adjustRightInd/>
        <w:snapToGrid/>
        <w:spacing w:before="1"/>
        <w:ind w:left="0" w:right="0"/>
      </w:pPr>
      <w:r>
        <w:t>甲方代表：</w:t>
      </w:r>
      <w:r>
        <w:rPr>
          <w:rFonts w:hint="eastAsia"/>
          <w:lang w:val="en-US" w:eastAsia="zh-CN"/>
        </w:rPr>
        <w:t xml:space="preserve">                          </w:t>
      </w:r>
      <w:r>
        <w:t>乙方代表：</w:t>
      </w:r>
    </w:p>
    <w:p w14:paraId="64AE430E">
      <w:pPr>
        <w:pStyle w:val="7"/>
        <w:keepNext w:val="0"/>
        <w:keepLines w:val="0"/>
        <w:pageBreakBefore w:val="0"/>
        <w:kinsoku/>
        <w:overflowPunct/>
        <w:topLinePunct w:val="0"/>
        <w:autoSpaceDE w:val="0"/>
        <w:autoSpaceDN w:val="0"/>
        <w:bidi w:val="0"/>
        <w:adjustRightInd/>
        <w:snapToGrid/>
        <w:spacing w:before="3"/>
        <w:ind w:left="0" w:right="0"/>
        <w:rPr>
          <w:sz w:val="25"/>
        </w:rPr>
      </w:pPr>
    </w:p>
    <w:p w14:paraId="4A39D70A">
      <w:pPr>
        <w:pStyle w:val="7"/>
        <w:keepNext w:val="0"/>
        <w:keepLines w:val="0"/>
        <w:pageBreakBefore w:val="0"/>
        <w:tabs>
          <w:tab w:val="left" w:pos="5629"/>
        </w:tabs>
        <w:kinsoku/>
        <w:overflowPunct/>
        <w:topLinePunct w:val="0"/>
        <w:autoSpaceDE w:val="0"/>
        <w:autoSpaceDN w:val="0"/>
        <w:bidi w:val="0"/>
        <w:adjustRightInd/>
        <w:snapToGrid/>
        <w:ind w:left="0" w:right="0" w:firstLine="960" w:firstLineChars="400"/>
      </w:pPr>
      <w:r>
        <w:t>（签字）</w:t>
      </w:r>
      <w:r>
        <w:tab/>
      </w:r>
      <w:r>
        <w:t>（签字）</w:t>
      </w:r>
    </w:p>
    <w:p w14:paraId="30310E95">
      <w:pPr>
        <w:pStyle w:val="7"/>
        <w:keepNext w:val="0"/>
        <w:keepLines w:val="0"/>
        <w:pageBreakBefore w:val="0"/>
        <w:kinsoku/>
        <w:overflowPunct/>
        <w:topLinePunct w:val="0"/>
        <w:autoSpaceDE w:val="0"/>
        <w:autoSpaceDN w:val="0"/>
        <w:bidi w:val="0"/>
        <w:adjustRightInd/>
        <w:snapToGrid/>
        <w:spacing w:before="3"/>
        <w:ind w:left="0" w:right="0"/>
        <w:rPr>
          <w:sz w:val="25"/>
        </w:rPr>
      </w:pPr>
    </w:p>
    <w:p w14:paraId="3B1044D2">
      <w:pPr>
        <w:keepNext w:val="0"/>
        <w:keepLines w:val="0"/>
        <w:pageBreakBefore w:val="0"/>
        <w:kinsoku/>
        <w:overflowPunct/>
        <w:topLinePunct w:val="0"/>
        <w:autoSpaceDE w:val="0"/>
        <w:autoSpaceDN w:val="0"/>
        <w:bidi w:val="0"/>
        <w:adjustRightInd/>
        <w:snapToGrid/>
        <w:ind w:left="0" w:right="0" w:firstLine="720" w:firstLineChars="300"/>
        <w:rPr>
          <w:rFonts w:hint="eastAsia"/>
          <w:lang w:val="en-US"/>
        </w:rPr>
      </w:pPr>
      <w:r>
        <w:rPr>
          <w:sz w:val="24"/>
          <w:szCs w:val="24"/>
        </w:rPr>
        <w:t>年</w:t>
      </w:r>
      <w:r>
        <w:rPr>
          <w:sz w:val="24"/>
          <w:szCs w:val="24"/>
        </w:rPr>
        <w:tab/>
      </w:r>
      <w:r>
        <w:rPr>
          <w:rFonts w:hint="eastAsia"/>
          <w:sz w:val="24"/>
          <w:szCs w:val="24"/>
          <w:lang w:val="en-US" w:eastAsia="zh-CN"/>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r>
        <w:rPr>
          <w:rFonts w:hint="eastAsia"/>
          <w:sz w:val="24"/>
          <w:szCs w:val="24"/>
          <w:lang w:val="en-US" w:eastAsia="zh-CN"/>
        </w:rPr>
        <w:t xml:space="preserve">       </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sz w:val="24"/>
          <w:szCs w:val="24"/>
        </w:rPr>
        <w:tab/>
      </w:r>
      <w:r>
        <w:rPr>
          <w:sz w:val="24"/>
          <w:szCs w:val="24"/>
        </w:rPr>
        <w:t>年</w:t>
      </w:r>
      <w:r>
        <w:rPr>
          <w:rFonts w:hint="eastAsia"/>
          <w:sz w:val="24"/>
          <w:szCs w:val="24"/>
          <w:lang w:val="en-US" w:eastAsia="zh-CN"/>
        </w:rPr>
        <w:t xml:space="preserve">  </w:t>
      </w:r>
      <w:r>
        <w:rPr>
          <w:sz w:val="24"/>
          <w:szCs w:val="24"/>
        </w:rPr>
        <w:tab/>
      </w:r>
      <w:r>
        <w:rPr>
          <w:sz w:val="24"/>
          <w:szCs w:val="24"/>
        </w:rPr>
        <w:t>月</w:t>
      </w: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日</w:t>
      </w:r>
    </w:p>
    <w:p w14:paraId="22DFED1F">
      <w:pPr>
        <w:pStyle w:val="2"/>
      </w:pPr>
    </w:p>
    <w:p w14:paraId="70509265">
      <w:pPr>
        <w:pStyle w:val="2"/>
      </w:pPr>
    </w:p>
    <w:p w14:paraId="77AA7A4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053B4445">
      <w:pPr>
        <w:pStyle w:val="2"/>
        <w:rPr>
          <w:rFonts w:hint="eastAsia"/>
        </w:rPr>
      </w:pPr>
    </w:p>
    <w:p w14:paraId="48F8B612">
      <w:pPr>
        <w:pStyle w:val="2"/>
        <w:rPr>
          <w:rFonts w:hint="eastAsia"/>
        </w:rPr>
      </w:pPr>
    </w:p>
    <w:p w14:paraId="7144F327">
      <w:pPr>
        <w:pStyle w:val="2"/>
        <w:rPr>
          <w:rFonts w:hint="eastAsia"/>
        </w:rPr>
      </w:pPr>
    </w:p>
    <w:p w14:paraId="553D141C">
      <w:pPr>
        <w:pStyle w:val="2"/>
        <w:rPr>
          <w:rFonts w:hint="eastAsia"/>
        </w:rPr>
      </w:pPr>
    </w:p>
    <w:p w14:paraId="501E2485">
      <w:pPr>
        <w:pStyle w:val="2"/>
        <w:rPr>
          <w:rFonts w:ascii="黑体" w:hAnsi="黑体" w:eastAsia="黑体" w:cs="黑体"/>
          <w:sz w:val="32"/>
          <w:szCs w:val="32"/>
        </w:rPr>
      </w:pPr>
    </w:p>
    <w:p w14:paraId="632F31D5">
      <w:pPr>
        <w:pStyle w:val="2"/>
        <w:rPr>
          <w:rFonts w:ascii="黑体" w:hAnsi="黑体" w:eastAsia="黑体" w:cs="黑体"/>
          <w:sz w:val="32"/>
          <w:szCs w:val="32"/>
        </w:rPr>
      </w:pPr>
    </w:p>
    <w:p w14:paraId="584F26F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BE60D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DB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36F9DB2">
                      <w:r>
                        <w:rPr>
                          <w:rFonts w:hint="eastAsia"/>
                        </w:rPr>
                        <w:t>正本/副本</w:t>
                      </w:r>
                    </w:p>
                  </w:txbxContent>
                </v:textbox>
              </v:shape>
            </w:pict>
          </mc:Fallback>
        </mc:AlternateContent>
      </w:r>
    </w:p>
    <w:p w14:paraId="30F160C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C3F30D9">
      <w:pPr>
        <w:jc w:val="center"/>
        <w:rPr>
          <w:rFonts w:ascii="方正小标宋简体" w:eastAsia="方正小标宋简体"/>
          <w:color w:val="000000"/>
          <w:sz w:val="44"/>
          <w:szCs w:val="44"/>
        </w:rPr>
      </w:pPr>
    </w:p>
    <w:p w14:paraId="0F24AAD1">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95987A7">
      <w:pPr>
        <w:rPr>
          <w:rFonts w:ascii="宋体" w:hAnsi="宋体"/>
          <w:b/>
          <w:color w:val="000000"/>
          <w:sz w:val="32"/>
          <w:szCs w:val="32"/>
        </w:rPr>
      </w:pPr>
    </w:p>
    <w:p w14:paraId="5B9A9C3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42B0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08CD4A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FF371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7A84A0">
      <w:pPr>
        <w:ind w:firstLine="1928" w:firstLineChars="600"/>
        <w:rPr>
          <w:rFonts w:ascii="宋体" w:hAnsi="宋体"/>
          <w:sz w:val="32"/>
          <w:szCs w:val="32"/>
        </w:rPr>
      </w:pPr>
      <w:r>
        <w:rPr>
          <w:rFonts w:hint="eastAsia" w:ascii="宋体" w:hAnsi="宋体"/>
          <w:b/>
          <w:sz w:val="32"/>
          <w:szCs w:val="32"/>
        </w:rPr>
        <w:t>移动电话：</w:t>
      </w:r>
    </w:p>
    <w:p w14:paraId="6038EC2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CB8CD7C">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1AA48F2">
      <w:pPr>
        <w:pStyle w:val="2"/>
        <w:rPr>
          <w:rFonts w:hint="eastAsia" w:ascii="宋体" w:hAnsi="宋体"/>
          <w:b/>
          <w:color w:val="000000"/>
          <w:sz w:val="32"/>
          <w:szCs w:val="32"/>
        </w:rPr>
      </w:pPr>
    </w:p>
    <w:p w14:paraId="6A43D4F7">
      <w:pPr>
        <w:pStyle w:val="2"/>
        <w:rPr>
          <w:rFonts w:hint="eastAsia" w:ascii="宋体" w:hAnsi="宋体"/>
          <w:b/>
          <w:color w:val="000000"/>
          <w:sz w:val="32"/>
          <w:szCs w:val="32"/>
        </w:rPr>
      </w:pPr>
    </w:p>
    <w:p w14:paraId="1495FC24">
      <w:pPr>
        <w:pStyle w:val="2"/>
        <w:rPr>
          <w:rFonts w:hint="eastAsia" w:ascii="宋体" w:hAnsi="宋体"/>
          <w:b/>
          <w:color w:val="000000"/>
          <w:sz w:val="32"/>
          <w:szCs w:val="32"/>
        </w:rPr>
      </w:pPr>
    </w:p>
    <w:p w14:paraId="5DB0619C">
      <w:pPr>
        <w:pStyle w:val="2"/>
        <w:rPr>
          <w:rFonts w:hint="eastAsia" w:ascii="宋体" w:hAnsi="宋体"/>
          <w:b/>
          <w:color w:val="000000"/>
          <w:sz w:val="32"/>
          <w:szCs w:val="32"/>
        </w:rPr>
      </w:pPr>
    </w:p>
    <w:p w14:paraId="6851EA20">
      <w:pPr>
        <w:pStyle w:val="2"/>
        <w:rPr>
          <w:rFonts w:hint="eastAsia" w:ascii="宋体" w:hAnsi="宋体"/>
          <w:b/>
          <w:color w:val="000000"/>
          <w:sz w:val="32"/>
          <w:szCs w:val="32"/>
        </w:rPr>
      </w:pPr>
    </w:p>
    <w:p w14:paraId="3CEEDEB4">
      <w:pPr>
        <w:pStyle w:val="2"/>
        <w:rPr>
          <w:rFonts w:hint="eastAsia" w:ascii="宋体" w:hAnsi="宋体"/>
          <w:b/>
          <w:color w:val="000000"/>
          <w:sz w:val="32"/>
          <w:szCs w:val="32"/>
        </w:rPr>
      </w:pPr>
    </w:p>
    <w:p w14:paraId="1A0918CE">
      <w:pPr>
        <w:pStyle w:val="2"/>
        <w:rPr>
          <w:rFonts w:hint="eastAsia" w:ascii="宋体" w:hAnsi="宋体"/>
          <w:b/>
          <w:color w:val="000000"/>
          <w:sz w:val="32"/>
          <w:szCs w:val="32"/>
        </w:rPr>
      </w:pPr>
    </w:p>
    <w:p w14:paraId="0440F787">
      <w:pPr>
        <w:pStyle w:val="2"/>
        <w:rPr>
          <w:rFonts w:hint="eastAsia" w:ascii="宋体" w:hAnsi="宋体"/>
          <w:b/>
          <w:color w:val="000000"/>
          <w:sz w:val="32"/>
          <w:szCs w:val="32"/>
        </w:rPr>
      </w:pPr>
    </w:p>
    <w:p w14:paraId="7DD4E073">
      <w:pPr>
        <w:pStyle w:val="2"/>
        <w:rPr>
          <w:rFonts w:hint="eastAsia" w:ascii="宋体" w:hAnsi="宋体"/>
          <w:b/>
          <w:color w:val="000000"/>
          <w:sz w:val="32"/>
          <w:szCs w:val="32"/>
        </w:rPr>
      </w:pPr>
    </w:p>
    <w:p w14:paraId="44F0F63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14:paraId="735A6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788CB942">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13F4AF9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4D5CDF00">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6403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0DF7D1D6">
            <w:pPr>
              <w:jc w:val="center"/>
              <w:rPr>
                <w:rFonts w:ascii="仿宋" w:hAnsi="仿宋" w:eastAsia="仿宋"/>
                <w:b/>
                <w:color w:val="C00000"/>
                <w:sz w:val="22"/>
                <w:szCs w:val="21"/>
              </w:rPr>
            </w:pPr>
          </w:p>
        </w:tc>
        <w:tc>
          <w:tcPr>
            <w:tcW w:w="3685" w:type="dxa"/>
            <w:vAlign w:val="center"/>
          </w:tcPr>
          <w:p w14:paraId="6D139C1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73087ED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086C1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14:paraId="38013707">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72EC5F90">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04C01E77">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14:paraId="24D4F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72719623">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59514852">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63CFF917">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14D9E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3B22576F">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2063770F">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6DBE6278">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3F187CE1">
            <w:pPr>
              <w:jc w:val="left"/>
              <w:rPr>
                <w:rFonts w:ascii="仿宋" w:hAnsi="仿宋" w:eastAsia="仿宋"/>
                <w:b/>
                <w:color w:val="C00000"/>
                <w:sz w:val="22"/>
                <w:szCs w:val="21"/>
              </w:rPr>
            </w:pPr>
          </w:p>
        </w:tc>
      </w:tr>
      <w:tr w14:paraId="147EF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3E452B18">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5605B292">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706C2107">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04AC1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225400B">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135E7918">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14:paraId="3DB6C084">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、检测资质证明文件、设备校准证书</w:t>
            </w:r>
          </w:p>
        </w:tc>
      </w:tr>
      <w:tr w14:paraId="53CBC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14:paraId="376BDB6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3779B5E1">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14:paraId="6B8FF8E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包含人员、检测所需时长等相关信息</w:t>
            </w:r>
          </w:p>
        </w:tc>
      </w:tr>
      <w:tr w14:paraId="41778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C37706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1ECB7701">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r>
              <w:rPr>
                <w:rFonts w:hint="eastAsia" w:ascii="仿宋" w:hAnsi="仿宋" w:eastAsia="仿宋"/>
                <w:b/>
                <w:color w:val="C00000"/>
                <w:sz w:val="22"/>
                <w:szCs w:val="21"/>
                <w:lang w:eastAsia="zh-CN"/>
              </w:rPr>
              <w:t>（</w:t>
            </w:r>
            <w:r>
              <w:rPr>
                <w:rFonts w:hint="eastAsia" w:ascii="仿宋" w:hAnsi="仿宋" w:eastAsia="仿宋"/>
                <w:b/>
                <w:color w:val="C00000"/>
                <w:sz w:val="22"/>
                <w:szCs w:val="21"/>
                <w:lang w:val="en-US" w:eastAsia="zh-CN"/>
              </w:rPr>
              <w:t>以合同为主</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 xml:space="preserve">。 </w:t>
            </w:r>
          </w:p>
        </w:tc>
        <w:tc>
          <w:tcPr>
            <w:tcW w:w="5587" w:type="dxa"/>
            <w:tcBorders>
              <w:top w:val="single" w:color="auto" w:sz="4" w:space="0"/>
              <w:bottom w:val="single" w:color="auto" w:sz="4" w:space="0"/>
            </w:tcBorders>
            <w:vAlign w:val="center"/>
          </w:tcPr>
          <w:p w14:paraId="078E0E6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18B7FBB4">
            <w:pPr>
              <w:rPr>
                <w:rFonts w:ascii="仿宋" w:hAnsi="仿宋" w:eastAsia="仿宋" w:cs="宋体"/>
                <w:b/>
                <w:bCs/>
                <w:color w:val="C00000"/>
                <w:kern w:val="0"/>
                <w:sz w:val="22"/>
                <w:szCs w:val="21"/>
              </w:rPr>
            </w:pPr>
          </w:p>
        </w:tc>
      </w:tr>
      <w:tr w14:paraId="4FD97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70A1620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073AC69">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14:paraId="3BCADBAC">
            <w:pPr>
              <w:jc w:val="center"/>
              <w:rPr>
                <w:rFonts w:ascii="仿宋" w:hAnsi="仿宋" w:eastAsia="仿宋" w:cs="宋体"/>
                <w:b/>
                <w:bCs/>
                <w:color w:val="C00000"/>
                <w:kern w:val="0"/>
                <w:sz w:val="22"/>
                <w:szCs w:val="21"/>
              </w:rPr>
            </w:pPr>
          </w:p>
        </w:tc>
      </w:tr>
    </w:tbl>
    <w:p w14:paraId="71F571A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81BFD0">
      <w:pPr>
        <w:pStyle w:val="2"/>
        <w:rPr>
          <w:rFonts w:ascii="仿宋_GB2312" w:eastAsia="仿宋_GB2312"/>
          <w:color w:val="000000"/>
          <w:sz w:val="28"/>
          <w:szCs w:val="28"/>
        </w:rPr>
      </w:pPr>
    </w:p>
    <w:p w14:paraId="0C19CCAD">
      <w:pPr>
        <w:pStyle w:val="2"/>
        <w:rPr>
          <w:rFonts w:ascii="仿宋_GB2312" w:eastAsia="仿宋_GB2312"/>
          <w:color w:val="000000"/>
          <w:sz w:val="28"/>
          <w:szCs w:val="28"/>
        </w:rPr>
      </w:pPr>
    </w:p>
    <w:p w14:paraId="40D44676">
      <w:pPr>
        <w:pStyle w:val="2"/>
        <w:rPr>
          <w:rFonts w:ascii="仿宋_GB2312" w:eastAsia="仿宋_GB2312"/>
          <w:color w:val="000000"/>
          <w:sz w:val="28"/>
          <w:szCs w:val="28"/>
        </w:rPr>
      </w:pPr>
    </w:p>
    <w:p w14:paraId="02AE2262">
      <w:pPr>
        <w:pStyle w:val="2"/>
        <w:rPr>
          <w:rFonts w:ascii="仿宋_GB2312" w:eastAsia="仿宋_GB2312"/>
          <w:color w:val="000000"/>
          <w:sz w:val="28"/>
          <w:szCs w:val="28"/>
        </w:rPr>
      </w:pPr>
    </w:p>
    <w:p w14:paraId="66667B74">
      <w:pPr>
        <w:pStyle w:val="2"/>
        <w:rPr>
          <w:rFonts w:ascii="仿宋_GB2312" w:eastAsia="仿宋_GB2312"/>
          <w:color w:val="000000"/>
          <w:sz w:val="28"/>
          <w:szCs w:val="28"/>
        </w:rPr>
      </w:pPr>
    </w:p>
    <w:p w14:paraId="278A12CB">
      <w:pPr>
        <w:pStyle w:val="2"/>
        <w:rPr>
          <w:rFonts w:ascii="仿宋_GB2312" w:eastAsia="仿宋_GB2312"/>
          <w:color w:val="000000"/>
          <w:sz w:val="28"/>
          <w:szCs w:val="28"/>
        </w:rPr>
      </w:pPr>
    </w:p>
    <w:p w14:paraId="643B7071">
      <w:pPr>
        <w:pStyle w:val="2"/>
        <w:rPr>
          <w:rFonts w:ascii="仿宋_GB2312" w:eastAsia="仿宋_GB2312"/>
          <w:color w:val="000000"/>
          <w:sz w:val="28"/>
          <w:szCs w:val="28"/>
        </w:rPr>
      </w:pPr>
    </w:p>
    <w:p w14:paraId="63CB8F20">
      <w:pPr>
        <w:pStyle w:val="2"/>
        <w:rPr>
          <w:rFonts w:ascii="仿宋_GB2312" w:eastAsia="仿宋_GB2312"/>
          <w:color w:val="000000"/>
          <w:sz w:val="28"/>
          <w:szCs w:val="28"/>
        </w:rPr>
      </w:pPr>
    </w:p>
    <w:p w14:paraId="742FA83D">
      <w:pPr>
        <w:pStyle w:val="2"/>
        <w:rPr>
          <w:rFonts w:ascii="仿宋_GB2312" w:eastAsia="仿宋_GB2312"/>
          <w:color w:val="000000"/>
          <w:sz w:val="28"/>
          <w:szCs w:val="28"/>
        </w:rPr>
      </w:pPr>
    </w:p>
    <w:p w14:paraId="308941F9">
      <w:pPr>
        <w:pStyle w:val="2"/>
        <w:rPr>
          <w:rFonts w:ascii="仿宋_GB2312" w:eastAsia="仿宋_GB2312"/>
          <w:color w:val="000000"/>
          <w:sz w:val="28"/>
          <w:szCs w:val="28"/>
        </w:rPr>
      </w:pPr>
    </w:p>
    <w:p w14:paraId="7F148C0A">
      <w:pPr>
        <w:pStyle w:val="2"/>
        <w:rPr>
          <w:rFonts w:ascii="仿宋_GB2312" w:eastAsia="仿宋_GB2312"/>
          <w:color w:val="000000"/>
          <w:sz w:val="28"/>
          <w:szCs w:val="28"/>
        </w:rPr>
      </w:pPr>
    </w:p>
    <w:p w14:paraId="0EDFAFA9">
      <w:pPr>
        <w:pStyle w:val="2"/>
        <w:rPr>
          <w:rFonts w:ascii="仿宋_GB2312" w:eastAsia="仿宋_GB2312"/>
          <w:color w:val="000000"/>
          <w:sz w:val="28"/>
          <w:szCs w:val="28"/>
        </w:rPr>
      </w:pPr>
    </w:p>
    <w:p w14:paraId="3EB4B49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7ACF23A">
      <w:pPr>
        <w:spacing w:line="500" w:lineRule="exact"/>
        <w:rPr>
          <w:rFonts w:ascii="方正小标宋简体" w:eastAsia="方正小标宋简体"/>
          <w:color w:val="000000"/>
          <w:sz w:val="44"/>
          <w:szCs w:val="44"/>
        </w:rPr>
      </w:pPr>
    </w:p>
    <w:p w14:paraId="0FA0BA26">
      <w:pPr>
        <w:spacing w:line="340" w:lineRule="atLeast"/>
        <w:outlineLvl w:val="0"/>
        <w:rPr>
          <w:rFonts w:ascii="黑体" w:hAnsi="宋体" w:eastAsia="黑体" w:cs="宋体"/>
          <w:b/>
          <w:color w:val="000000"/>
          <w:sz w:val="32"/>
          <w:szCs w:val="32"/>
        </w:rPr>
      </w:pPr>
      <w:bookmarkStart w:id="6" w:name="_Toc258354146"/>
      <w:bookmarkStart w:id="7" w:name="_Toc258360269"/>
      <w:bookmarkStart w:id="8" w:name="_Toc337554724"/>
      <w:bookmarkStart w:id="9" w:name="_Toc9548"/>
      <w:bookmarkStart w:id="10" w:name="_Toc261708863"/>
      <w:bookmarkStart w:id="11" w:name="_Toc248896063"/>
      <w:bookmarkStart w:id="12" w:name="_Toc320878640"/>
      <w:bookmarkStart w:id="13" w:name="_Toc258360158"/>
      <w:bookmarkStart w:id="14" w:name="_Toc10762"/>
      <w:bookmarkStart w:id="15" w:name="_Toc15313"/>
      <w:bookmarkStart w:id="16" w:name="_Toc337475854"/>
      <w:bookmarkStart w:id="17" w:name="_Toc219626747"/>
      <w:bookmarkStart w:id="18" w:name="_Toc17030"/>
      <w:bookmarkStart w:id="19" w:name="_Toc258333636"/>
      <w:bookmarkStart w:id="20" w:name="_Toc304219257"/>
    </w:p>
    <w:p w14:paraId="3FC29498">
      <w:pPr>
        <w:spacing w:line="340" w:lineRule="atLeast"/>
        <w:outlineLvl w:val="0"/>
        <w:rPr>
          <w:rFonts w:ascii="黑体" w:hAnsi="宋体" w:eastAsia="黑体" w:cs="宋体"/>
          <w:b/>
          <w:color w:val="000000"/>
          <w:sz w:val="32"/>
          <w:szCs w:val="32"/>
        </w:rPr>
      </w:pPr>
    </w:p>
    <w:p w14:paraId="77D0AC02">
      <w:pPr>
        <w:spacing w:line="340" w:lineRule="atLeast"/>
        <w:outlineLvl w:val="0"/>
        <w:rPr>
          <w:rFonts w:ascii="黑体" w:hAnsi="宋体" w:eastAsia="黑体" w:cs="宋体"/>
          <w:b/>
          <w:color w:val="000000"/>
          <w:sz w:val="32"/>
          <w:szCs w:val="32"/>
        </w:rPr>
      </w:pPr>
    </w:p>
    <w:p w14:paraId="04688CB3">
      <w:pPr>
        <w:spacing w:line="340" w:lineRule="atLeast"/>
        <w:outlineLvl w:val="0"/>
        <w:rPr>
          <w:rFonts w:ascii="黑体" w:hAnsi="宋体" w:eastAsia="黑体" w:cs="宋体"/>
          <w:b/>
          <w:color w:val="000000"/>
          <w:sz w:val="32"/>
          <w:szCs w:val="32"/>
        </w:rPr>
      </w:pPr>
    </w:p>
    <w:p w14:paraId="19BF3F2B">
      <w:pPr>
        <w:spacing w:line="340" w:lineRule="atLeast"/>
        <w:outlineLvl w:val="0"/>
        <w:rPr>
          <w:rFonts w:ascii="黑体" w:hAnsi="宋体" w:eastAsia="黑体" w:cs="宋体"/>
          <w:b/>
          <w:color w:val="000000"/>
          <w:sz w:val="32"/>
          <w:szCs w:val="32"/>
        </w:rPr>
      </w:pPr>
    </w:p>
    <w:p w14:paraId="4D0DD578">
      <w:pPr>
        <w:spacing w:line="340" w:lineRule="atLeast"/>
        <w:outlineLvl w:val="0"/>
        <w:rPr>
          <w:rFonts w:ascii="黑体" w:hAnsi="宋体" w:eastAsia="黑体" w:cs="宋体"/>
          <w:b/>
          <w:color w:val="000000"/>
          <w:sz w:val="32"/>
          <w:szCs w:val="32"/>
        </w:rPr>
      </w:pPr>
    </w:p>
    <w:p w14:paraId="7A27DA51">
      <w:pPr>
        <w:pStyle w:val="2"/>
        <w:rPr>
          <w:rFonts w:ascii="黑体" w:hAnsi="宋体" w:eastAsia="黑体" w:cs="宋体"/>
          <w:b/>
          <w:color w:val="000000"/>
          <w:sz w:val="32"/>
          <w:szCs w:val="32"/>
        </w:rPr>
      </w:pPr>
    </w:p>
    <w:p w14:paraId="7DC11965">
      <w:pPr>
        <w:pStyle w:val="2"/>
        <w:rPr>
          <w:rFonts w:ascii="黑体" w:hAnsi="宋体" w:eastAsia="黑体" w:cs="宋体"/>
          <w:b/>
          <w:color w:val="000000"/>
          <w:sz w:val="32"/>
          <w:szCs w:val="32"/>
        </w:rPr>
      </w:pPr>
    </w:p>
    <w:p w14:paraId="07A7BB37">
      <w:pPr>
        <w:pStyle w:val="2"/>
        <w:rPr>
          <w:rFonts w:ascii="黑体" w:hAnsi="宋体" w:eastAsia="黑体" w:cs="宋体"/>
          <w:b/>
          <w:color w:val="000000"/>
          <w:sz w:val="32"/>
          <w:szCs w:val="32"/>
        </w:rPr>
      </w:pPr>
    </w:p>
    <w:p w14:paraId="6364AEEF">
      <w:pPr>
        <w:pStyle w:val="2"/>
        <w:rPr>
          <w:rFonts w:ascii="黑体" w:hAnsi="宋体" w:eastAsia="黑体" w:cs="宋体"/>
          <w:b/>
          <w:color w:val="000000"/>
          <w:sz w:val="32"/>
          <w:szCs w:val="32"/>
        </w:rPr>
      </w:pPr>
    </w:p>
    <w:p w14:paraId="595E1097">
      <w:pPr>
        <w:spacing w:line="340" w:lineRule="atLeast"/>
        <w:outlineLvl w:val="0"/>
        <w:rPr>
          <w:rFonts w:ascii="黑体" w:hAnsi="宋体" w:eastAsia="黑体" w:cs="宋体"/>
          <w:b/>
          <w:color w:val="000000"/>
          <w:sz w:val="32"/>
          <w:szCs w:val="32"/>
        </w:rPr>
      </w:pPr>
    </w:p>
    <w:p w14:paraId="278105B7">
      <w:pPr>
        <w:spacing w:line="340" w:lineRule="atLeast"/>
        <w:outlineLvl w:val="0"/>
        <w:rPr>
          <w:rFonts w:ascii="黑体" w:hAnsi="宋体" w:eastAsia="黑体" w:cs="宋体"/>
          <w:b/>
          <w:color w:val="000000"/>
          <w:sz w:val="32"/>
          <w:szCs w:val="32"/>
        </w:rPr>
      </w:pPr>
    </w:p>
    <w:p w14:paraId="5578B972">
      <w:pPr>
        <w:spacing w:line="340" w:lineRule="atLeast"/>
        <w:outlineLvl w:val="0"/>
        <w:rPr>
          <w:rFonts w:ascii="黑体" w:hAnsi="宋体" w:eastAsia="黑体" w:cs="宋体"/>
          <w:b/>
          <w:color w:val="000000"/>
          <w:sz w:val="32"/>
          <w:szCs w:val="32"/>
        </w:rPr>
      </w:pPr>
    </w:p>
    <w:p w14:paraId="1600F8B8">
      <w:pPr>
        <w:spacing w:line="340" w:lineRule="atLeast"/>
        <w:outlineLvl w:val="0"/>
        <w:rPr>
          <w:rFonts w:ascii="黑体" w:hAnsi="宋体" w:eastAsia="黑体" w:cs="宋体"/>
          <w:b/>
          <w:color w:val="000000"/>
          <w:sz w:val="32"/>
          <w:szCs w:val="32"/>
        </w:rPr>
      </w:pPr>
    </w:p>
    <w:p w14:paraId="27CA159C">
      <w:pPr>
        <w:spacing w:line="340" w:lineRule="atLeast"/>
        <w:outlineLvl w:val="0"/>
        <w:rPr>
          <w:rFonts w:ascii="黑体" w:hAnsi="宋体" w:eastAsia="黑体" w:cs="宋体"/>
          <w:b/>
          <w:color w:val="000000"/>
          <w:sz w:val="32"/>
          <w:szCs w:val="32"/>
        </w:rPr>
      </w:pPr>
    </w:p>
    <w:p w14:paraId="2935E8E0">
      <w:pPr>
        <w:spacing w:line="340" w:lineRule="atLeast"/>
        <w:outlineLvl w:val="0"/>
        <w:rPr>
          <w:rFonts w:ascii="黑体" w:hAnsi="宋体" w:eastAsia="黑体" w:cs="宋体"/>
          <w:b/>
          <w:color w:val="000000"/>
          <w:sz w:val="32"/>
          <w:szCs w:val="32"/>
        </w:rPr>
      </w:pPr>
    </w:p>
    <w:p w14:paraId="5D9D1340">
      <w:pPr>
        <w:spacing w:line="340" w:lineRule="atLeast"/>
        <w:outlineLvl w:val="0"/>
        <w:rPr>
          <w:rFonts w:ascii="黑体" w:hAnsi="宋体" w:eastAsia="黑体" w:cs="宋体"/>
          <w:b/>
          <w:color w:val="000000"/>
          <w:sz w:val="32"/>
          <w:szCs w:val="32"/>
        </w:rPr>
      </w:pPr>
    </w:p>
    <w:p w14:paraId="78B1061F">
      <w:pPr>
        <w:spacing w:line="340" w:lineRule="atLeast"/>
        <w:outlineLvl w:val="0"/>
        <w:rPr>
          <w:rFonts w:ascii="黑体" w:hAnsi="宋体" w:eastAsia="黑体" w:cs="宋体"/>
          <w:b/>
          <w:color w:val="000000"/>
          <w:sz w:val="32"/>
          <w:szCs w:val="32"/>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3F8B120F">
      <w:pPr>
        <w:spacing w:line="480" w:lineRule="exact"/>
        <w:jc w:val="both"/>
        <w:rPr>
          <w:rFonts w:ascii="方正小标宋简体" w:eastAsia="方正小标宋简体"/>
          <w:color w:val="000000"/>
          <w:sz w:val="44"/>
          <w:szCs w:val="44"/>
        </w:rPr>
      </w:pPr>
    </w:p>
    <w:p w14:paraId="178EC2A6">
      <w:pPr>
        <w:spacing w:line="480" w:lineRule="exact"/>
        <w:jc w:val="center"/>
        <w:rPr>
          <w:rFonts w:ascii="方正小标宋简体" w:eastAsia="方正小标宋简体"/>
          <w:color w:val="000000"/>
          <w:sz w:val="44"/>
          <w:szCs w:val="44"/>
        </w:rPr>
      </w:pPr>
    </w:p>
    <w:p w14:paraId="29D13E60">
      <w:pPr>
        <w:spacing w:line="480" w:lineRule="exact"/>
        <w:jc w:val="center"/>
        <w:rPr>
          <w:rFonts w:ascii="方正小标宋简体" w:eastAsia="方正小标宋简体"/>
          <w:color w:val="000000"/>
          <w:sz w:val="44"/>
          <w:szCs w:val="44"/>
        </w:rPr>
      </w:pPr>
    </w:p>
    <w:p w14:paraId="194E610A">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38639EDF">
      <w:pPr>
        <w:pStyle w:val="2"/>
        <w:rPr>
          <w:rFonts w:ascii="方正小标宋简体" w:eastAsia="方正小标宋简体"/>
          <w:color w:val="000000"/>
          <w:sz w:val="44"/>
          <w:szCs w:val="44"/>
        </w:rPr>
      </w:pPr>
    </w:p>
    <w:p w14:paraId="54DAA98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FDEDB98">
      <w:pPr>
        <w:pStyle w:val="2"/>
        <w:jc w:val="center"/>
        <w:rPr>
          <w:rFonts w:hint="eastAsia" w:ascii="黑体" w:eastAsia="黑体"/>
          <w:color w:val="000000"/>
          <w:sz w:val="32"/>
          <w:szCs w:val="32"/>
          <w:lang w:val="en-US" w:eastAsia="zh-CN"/>
        </w:rPr>
      </w:pPr>
      <w:r>
        <w:rPr>
          <w:rFonts w:hint="eastAsia" w:ascii="黑体" w:eastAsia="黑体"/>
          <w:color w:val="000000"/>
          <w:sz w:val="32"/>
          <w:szCs w:val="32"/>
          <w:lang w:val="en-US" w:eastAsia="zh-CN"/>
        </w:rPr>
        <w:t>报价表</w:t>
      </w:r>
    </w:p>
    <w:p w14:paraId="4D1B942A">
      <w:pPr>
        <w:pStyle w:val="2"/>
        <w:jc w:val="both"/>
        <w:rPr>
          <w:rFonts w:hint="eastAsia" w:ascii="黑体" w:eastAsia="黑体"/>
          <w:color w:val="000000"/>
          <w:sz w:val="32"/>
          <w:szCs w:val="32"/>
          <w:lang w:val="en-US" w:eastAsia="zh-CN"/>
        </w:rPr>
      </w:pPr>
    </w:p>
    <w:p w14:paraId="6FFB53DF">
      <w:pPr>
        <w:pStyle w:val="2"/>
        <w:jc w:val="both"/>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w:t>
      </w:r>
    </w:p>
    <w:p w14:paraId="25DC9F27">
      <w:pPr>
        <w:pStyle w:val="2"/>
        <w:rPr>
          <w:rFonts w:ascii="黑体" w:eastAsia="黑体"/>
          <w:color w:val="000000"/>
          <w:sz w:val="32"/>
          <w:szCs w:val="32"/>
        </w:rPr>
      </w:pPr>
    </w:p>
    <w:p w14:paraId="5E68A2F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F5D04B0">
      <w:pPr>
        <w:spacing w:line="580" w:lineRule="exact"/>
        <w:rPr>
          <w:rFonts w:ascii="仿宋_GB2312" w:eastAsia="仿宋_GB2312"/>
          <w:color w:val="000000"/>
          <w:sz w:val="30"/>
          <w:szCs w:val="30"/>
          <w:u w:val="single"/>
        </w:rPr>
      </w:pPr>
    </w:p>
    <w:p w14:paraId="231A730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17E58C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78AE50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00FD47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3CAD57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7379D57">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482C24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38AD4B6">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077643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AFCB87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A235531">
      <w:pPr>
        <w:spacing w:line="580" w:lineRule="exact"/>
        <w:ind w:firstLine="600" w:firstLineChars="200"/>
        <w:rPr>
          <w:rFonts w:ascii="仿宋_GB2312" w:eastAsia="仿宋_GB2312"/>
          <w:color w:val="000000"/>
          <w:sz w:val="30"/>
          <w:szCs w:val="30"/>
          <w:u w:val="single"/>
        </w:rPr>
      </w:pPr>
    </w:p>
    <w:p w14:paraId="22427EC7">
      <w:pPr>
        <w:spacing w:line="440" w:lineRule="exact"/>
        <w:outlineLvl w:val="0"/>
        <w:rPr>
          <w:rFonts w:ascii="黑体" w:eastAsia="黑体"/>
          <w:color w:val="000000"/>
          <w:sz w:val="32"/>
          <w:szCs w:val="32"/>
        </w:rPr>
      </w:pPr>
    </w:p>
    <w:p w14:paraId="44F25E3C">
      <w:pPr>
        <w:spacing w:line="440" w:lineRule="exact"/>
        <w:outlineLvl w:val="0"/>
        <w:rPr>
          <w:rFonts w:ascii="黑体" w:eastAsia="黑体"/>
          <w:color w:val="000000"/>
          <w:sz w:val="32"/>
          <w:szCs w:val="32"/>
        </w:rPr>
      </w:pPr>
    </w:p>
    <w:p w14:paraId="29C255C6">
      <w:pPr>
        <w:pStyle w:val="2"/>
        <w:rPr>
          <w:rFonts w:ascii="黑体" w:eastAsia="黑体"/>
          <w:color w:val="000000"/>
          <w:sz w:val="32"/>
          <w:szCs w:val="32"/>
        </w:rPr>
      </w:pPr>
    </w:p>
    <w:p w14:paraId="2B4C4342">
      <w:pPr>
        <w:pStyle w:val="2"/>
        <w:rPr>
          <w:rFonts w:ascii="黑体" w:eastAsia="黑体"/>
          <w:color w:val="000000"/>
          <w:sz w:val="32"/>
          <w:szCs w:val="32"/>
        </w:rPr>
      </w:pPr>
    </w:p>
    <w:p w14:paraId="785F93C2">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FD7596A">
      <w:pPr>
        <w:spacing w:line="500" w:lineRule="exact"/>
        <w:jc w:val="center"/>
        <w:rPr>
          <w:rFonts w:ascii="方正小标宋简体" w:hAnsi="宋体" w:eastAsia="方正小标宋简体"/>
          <w:color w:val="000000"/>
          <w:sz w:val="44"/>
          <w:szCs w:val="44"/>
        </w:rPr>
      </w:pPr>
    </w:p>
    <w:p w14:paraId="2BF9A47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6072B3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E303E0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28FBF4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9CEB62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A4861A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153FCF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F78D007">
      <w:pPr>
        <w:spacing w:line="520" w:lineRule="exact"/>
        <w:ind w:left="420"/>
        <w:rPr>
          <w:rFonts w:ascii="仿宋_GB2312" w:hAnsi="宋体" w:eastAsia="仿宋_GB2312"/>
          <w:color w:val="000000"/>
          <w:sz w:val="30"/>
          <w:szCs w:val="30"/>
        </w:rPr>
      </w:pPr>
    </w:p>
    <w:p w14:paraId="61BCA13C">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0628EF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B4D52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0A3869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v:textbox>
              </v:rect>
            </w:pict>
          </mc:Fallback>
        </mc:AlternateContent>
      </w:r>
    </w:p>
    <w:p w14:paraId="2BB3C10F">
      <w:pPr>
        <w:rPr>
          <w:rFonts w:ascii="仿宋_GB2312" w:hAnsi="宋体" w:eastAsia="仿宋_GB2312"/>
          <w:color w:val="000000"/>
          <w:sz w:val="32"/>
          <w:szCs w:val="32"/>
        </w:rPr>
      </w:pPr>
    </w:p>
    <w:p w14:paraId="3B20387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93BC38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v:textbox>
              </v:rect>
            </w:pict>
          </mc:Fallback>
        </mc:AlternateContent>
      </w:r>
    </w:p>
    <w:p w14:paraId="38936D3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v:textbox>
              </v:rect>
            </w:pict>
          </mc:Fallback>
        </mc:AlternateContent>
      </w:r>
    </w:p>
    <w:p w14:paraId="210C2DE5">
      <w:pPr>
        <w:jc w:val="right"/>
        <w:rPr>
          <w:rFonts w:ascii="仿宋_GB2312" w:hAnsi="宋体" w:eastAsia="仿宋_GB2312"/>
          <w:color w:val="000000"/>
          <w:sz w:val="32"/>
          <w:szCs w:val="32"/>
        </w:rPr>
      </w:pPr>
    </w:p>
    <w:p w14:paraId="7914D642">
      <w:pPr>
        <w:wordWrap w:val="0"/>
        <w:jc w:val="right"/>
        <w:rPr>
          <w:rFonts w:ascii="仿宋_GB2312" w:hAnsi="宋体" w:eastAsia="仿宋_GB2312"/>
          <w:color w:val="000000"/>
          <w:sz w:val="32"/>
          <w:szCs w:val="32"/>
          <w:u w:val="single"/>
        </w:rPr>
      </w:pPr>
    </w:p>
    <w:p w14:paraId="123B33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45D63E8">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8ED48CE">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1803135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FD0220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6C6683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FA922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2CC783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E689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693FE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88DBC8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8A9A2F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C0D070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684C209">
      <w:pPr>
        <w:jc w:val="left"/>
        <w:rPr>
          <w:rFonts w:ascii="仿宋_GB2312" w:hAnsi="宋体" w:eastAsia="仿宋_GB2312"/>
          <w:color w:val="000000"/>
          <w:sz w:val="32"/>
          <w:szCs w:val="32"/>
        </w:rPr>
      </w:pPr>
    </w:p>
    <w:p w14:paraId="62EB9EDD">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5E9E5541">
      <w:pPr>
        <w:ind w:firstLine="4960" w:firstLineChars="1550"/>
        <w:jc w:val="left"/>
        <w:rPr>
          <w:rFonts w:ascii="仿宋_GB2312" w:hAnsi="宋体" w:eastAsia="仿宋_GB2312"/>
          <w:color w:val="000000"/>
          <w:sz w:val="32"/>
          <w:szCs w:val="32"/>
        </w:rPr>
      </w:pPr>
    </w:p>
    <w:p w14:paraId="6A168B6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A328D7">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6DCE63A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705E10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FDA30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66EB0A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C95F2AA">
      <w:pPr>
        <w:pStyle w:val="23"/>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A4A7ED">
      <w:pPr>
        <w:pStyle w:val="23"/>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63A6B2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32DA6B5">
      <w:pPr>
        <w:pStyle w:val="23"/>
      </w:pPr>
    </w:p>
    <w:p w14:paraId="6C9C07B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0476392">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3191EF2C">
      <w:pPr>
        <w:ind w:firstLine="4960" w:firstLineChars="1550"/>
        <w:jc w:val="left"/>
        <w:rPr>
          <w:rFonts w:ascii="仿宋_GB2312" w:hAnsi="宋体" w:eastAsia="仿宋_GB2312"/>
          <w:color w:val="000000"/>
          <w:sz w:val="32"/>
          <w:szCs w:val="32"/>
        </w:rPr>
      </w:pPr>
    </w:p>
    <w:p w14:paraId="5AB1A75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47FF521">
      <w:pPr>
        <w:pStyle w:val="2"/>
      </w:pPr>
    </w:p>
    <w:p w14:paraId="1334C0BD">
      <w:pPr>
        <w:pStyle w:val="2"/>
      </w:pPr>
    </w:p>
    <w:p w14:paraId="10D52004">
      <w:pPr>
        <w:pStyle w:val="2"/>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3"/>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3"/>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3"/>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2D35BCD8">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47F8">
    <w:pPr>
      <w:pStyle w:val="8"/>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6D71">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CF6D71">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3034">
    <w:pPr>
      <w:pStyle w:val="9"/>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9351655"/>
    <w:multiLevelType w:val="singleLevel"/>
    <w:tmpl w:val="99351655"/>
    <w:lvl w:ilvl="0" w:tentative="0">
      <w:start w:val="9"/>
      <w:numFmt w:val="chineseCounting"/>
      <w:suff w:val="space"/>
      <w:lvlText w:val="第%1条"/>
      <w:lvlJc w:val="left"/>
      <w:rPr>
        <w:rFonts w:hint="eastAsia"/>
      </w:rPr>
    </w:lvl>
  </w:abstractNum>
  <w:abstractNum w:abstractNumId="2">
    <w:nsid w:val="9BC83A2C"/>
    <w:multiLevelType w:val="singleLevel"/>
    <w:tmpl w:val="9BC83A2C"/>
    <w:lvl w:ilvl="0" w:tentative="0">
      <w:start w:val="1"/>
      <w:numFmt w:val="chineseCounting"/>
      <w:suff w:val="nothing"/>
      <w:lvlText w:val="（%1）"/>
      <w:lvlJc w:val="left"/>
      <w:rPr>
        <w:rFonts w:hint="eastAsia"/>
      </w:r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461DBB5B"/>
    <w:multiLevelType w:val="singleLevel"/>
    <w:tmpl w:val="461DBB5B"/>
    <w:lvl w:ilvl="0" w:tentative="0">
      <w:start w:val="4"/>
      <w:numFmt w:val="chineseCounting"/>
      <w:suff w:val="space"/>
      <w:lvlText w:val="第%1条"/>
      <w:lvlJc w:val="left"/>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4"/>
  </w:num>
  <w:num w:numId="4">
    <w:abstractNumId w:val="3"/>
  </w:num>
  <w:num w:numId="5">
    <w:abstractNumId w:val="0"/>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685524"/>
    <w:rsid w:val="06AB0CBE"/>
    <w:rsid w:val="07115D57"/>
    <w:rsid w:val="07480850"/>
    <w:rsid w:val="07A779E9"/>
    <w:rsid w:val="080F642F"/>
    <w:rsid w:val="0831446C"/>
    <w:rsid w:val="08492771"/>
    <w:rsid w:val="08B25A56"/>
    <w:rsid w:val="091E4C98"/>
    <w:rsid w:val="09891DDE"/>
    <w:rsid w:val="09984B6B"/>
    <w:rsid w:val="09E9128C"/>
    <w:rsid w:val="0A1C52E7"/>
    <w:rsid w:val="0A321C94"/>
    <w:rsid w:val="0ABF28A5"/>
    <w:rsid w:val="0B3D0A94"/>
    <w:rsid w:val="0B9D1095"/>
    <w:rsid w:val="0BD8254C"/>
    <w:rsid w:val="0CE95F36"/>
    <w:rsid w:val="0CFB4C25"/>
    <w:rsid w:val="0D456FB4"/>
    <w:rsid w:val="0D9E4273"/>
    <w:rsid w:val="0DF70796"/>
    <w:rsid w:val="0E5B26BC"/>
    <w:rsid w:val="0E9016D0"/>
    <w:rsid w:val="0E93621F"/>
    <w:rsid w:val="0F54445A"/>
    <w:rsid w:val="0F9D3544"/>
    <w:rsid w:val="111B0067"/>
    <w:rsid w:val="114C35D9"/>
    <w:rsid w:val="11614F69"/>
    <w:rsid w:val="117A22FE"/>
    <w:rsid w:val="11953DFF"/>
    <w:rsid w:val="11C31BE9"/>
    <w:rsid w:val="11DF6A92"/>
    <w:rsid w:val="124662BD"/>
    <w:rsid w:val="12A11F66"/>
    <w:rsid w:val="13C5199E"/>
    <w:rsid w:val="14682D8B"/>
    <w:rsid w:val="16A35C46"/>
    <w:rsid w:val="170D04F7"/>
    <w:rsid w:val="171020C9"/>
    <w:rsid w:val="17D81E85"/>
    <w:rsid w:val="186D0D29"/>
    <w:rsid w:val="188744A6"/>
    <w:rsid w:val="1965314B"/>
    <w:rsid w:val="1A0C71E7"/>
    <w:rsid w:val="1A257B62"/>
    <w:rsid w:val="1A5F7FC3"/>
    <w:rsid w:val="1B304823"/>
    <w:rsid w:val="1BCA7DF5"/>
    <w:rsid w:val="1C900C49"/>
    <w:rsid w:val="1C92771B"/>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661459D"/>
    <w:rsid w:val="278100C0"/>
    <w:rsid w:val="27AF30E6"/>
    <w:rsid w:val="281A4847"/>
    <w:rsid w:val="288B4898"/>
    <w:rsid w:val="28AE7436"/>
    <w:rsid w:val="28FF3B84"/>
    <w:rsid w:val="29736AC1"/>
    <w:rsid w:val="2A7E0BB7"/>
    <w:rsid w:val="2A826BC7"/>
    <w:rsid w:val="2B0A7B44"/>
    <w:rsid w:val="2CC10CAE"/>
    <w:rsid w:val="2E45084A"/>
    <w:rsid w:val="2ED21247"/>
    <w:rsid w:val="2F632DBF"/>
    <w:rsid w:val="30217C48"/>
    <w:rsid w:val="311B0235"/>
    <w:rsid w:val="31384F13"/>
    <w:rsid w:val="31827FC3"/>
    <w:rsid w:val="32367AE2"/>
    <w:rsid w:val="33F956F6"/>
    <w:rsid w:val="34F91724"/>
    <w:rsid w:val="35235DD9"/>
    <w:rsid w:val="355D343E"/>
    <w:rsid w:val="35803DCD"/>
    <w:rsid w:val="358D0D69"/>
    <w:rsid w:val="359022EB"/>
    <w:rsid w:val="384A7AD5"/>
    <w:rsid w:val="38C53340"/>
    <w:rsid w:val="3A3A4AA9"/>
    <w:rsid w:val="3AD243FA"/>
    <w:rsid w:val="3B1111E4"/>
    <w:rsid w:val="3B2A4846"/>
    <w:rsid w:val="3B5373B6"/>
    <w:rsid w:val="3B677688"/>
    <w:rsid w:val="3C8F1C55"/>
    <w:rsid w:val="3CCF593D"/>
    <w:rsid w:val="3D627C23"/>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7552A75"/>
    <w:rsid w:val="486D7AF7"/>
    <w:rsid w:val="493C56B1"/>
    <w:rsid w:val="494804BB"/>
    <w:rsid w:val="495A2A50"/>
    <w:rsid w:val="49664CB2"/>
    <w:rsid w:val="4A2A20B9"/>
    <w:rsid w:val="4B4638AD"/>
    <w:rsid w:val="4B70660F"/>
    <w:rsid w:val="4B7C13C2"/>
    <w:rsid w:val="4B9C1C97"/>
    <w:rsid w:val="4BBC7761"/>
    <w:rsid w:val="4BC500AA"/>
    <w:rsid w:val="4C1C5AD5"/>
    <w:rsid w:val="4D242965"/>
    <w:rsid w:val="4FCE5CD6"/>
    <w:rsid w:val="50214BFD"/>
    <w:rsid w:val="503F3FE4"/>
    <w:rsid w:val="50644509"/>
    <w:rsid w:val="51412A8B"/>
    <w:rsid w:val="514F77D3"/>
    <w:rsid w:val="51AA058F"/>
    <w:rsid w:val="533D08A8"/>
    <w:rsid w:val="53501B3C"/>
    <w:rsid w:val="53EC32EF"/>
    <w:rsid w:val="550B217C"/>
    <w:rsid w:val="55803735"/>
    <w:rsid w:val="56035E67"/>
    <w:rsid w:val="563E288F"/>
    <w:rsid w:val="56473984"/>
    <w:rsid w:val="57162389"/>
    <w:rsid w:val="57575861"/>
    <w:rsid w:val="595B04CD"/>
    <w:rsid w:val="5A975B2D"/>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7F4667"/>
    <w:rsid w:val="6BDA23AB"/>
    <w:rsid w:val="6CD8518D"/>
    <w:rsid w:val="6DD4231C"/>
    <w:rsid w:val="6ECA7999"/>
    <w:rsid w:val="6F7B0CA4"/>
    <w:rsid w:val="6F8E4227"/>
    <w:rsid w:val="6FEC0000"/>
    <w:rsid w:val="70201765"/>
    <w:rsid w:val="70E04A7D"/>
    <w:rsid w:val="70F03E6A"/>
    <w:rsid w:val="70FB51D1"/>
    <w:rsid w:val="718A0C20"/>
    <w:rsid w:val="71B367CA"/>
    <w:rsid w:val="72AF20B0"/>
    <w:rsid w:val="72CE76A2"/>
    <w:rsid w:val="73B95B82"/>
    <w:rsid w:val="73BA7E96"/>
    <w:rsid w:val="745F5922"/>
    <w:rsid w:val="75441CAA"/>
    <w:rsid w:val="759E02BD"/>
    <w:rsid w:val="77F35741"/>
    <w:rsid w:val="78481C82"/>
    <w:rsid w:val="789B1E63"/>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9"/>
      <w:outlineLvl w:val="0"/>
    </w:pPr>
    <w:rPr>
      <w:b/>
      <w:bCs/>
      <w:sz w:val="24"/>
      <w:szCs w:val="24"/>
    </w:rPr>
  </w:style>
  <w:style w:type="paragraph" w:styleId="4">
    <w:name w:val="heading 2"/>
    <w:basedOn w:val="1"/>
    <w:next w:val="5"/>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5">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6">
    <w:name w:val="annotation text"/>
    <w:basedOn w:val="1"/>
    <w:qFormat/>
    <w:uiPriority w:val="0"/>
    <w:pPr>
      <w:jc w:val="left"/>
    </w:pPr>
  </w:style>
  <w:style w:type="paragraph" w:styleId="7">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qFormat/>
    <w:uiPriority w:val="0"/>
    <w:rPr>
      <w:color w:val="444444"/>
      <w:sz w:val="21"/>
      <w:szCs w:val="21"/>
      <w:u w:val="none"/>
    </w:rPr>
  </w:style>
  <w:style w:type="character" w:styleId="15">
    <w:name w:val="Hyperlink"/>
    <w:basedOn w:val="13"/>
    <w:autoRedefine/>
    <w:semiHidden/>
    <w:unhideWhenUsed/>
    <w:qFormat/>
    <w:uiPriority w:val="99"/>
    <w:rPr>
      <w:rFonts w:ascii="微软雅黑" w:hAnsi="微软雅黑" w:eastAsia="微软雅黑" w:cs="微软雅黑"/>
      <w:color w:val="02396F"/>
      <w:u w:val="single"/>
    </w:rPr>
  </w:style>
  <w:style w:type="character" w:styleId="16">
    <w:name w:val="annotation reference"/>
    <w:basedOn w:val="13"/>
    <w:autoRedefine/>
    <w:qFormat/>
    <w:uiPriority w:val="0"/>
    <w:rPr>
      <w:sz w:val="21"/>
      <w:szCs w:val="21"/>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3"/>
    <w:link w:val="8"/>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3"/>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3"/>
    <w:autoRedefine/>
    <w:qFormat/>
    <w:uiPriority w:val="0"/>
    <w:rPr>
      <w:rFonts w:hint="eastAsia" w:ascii="宋体" w:hAnsi="宋体" w:eastAsia="宋体" w:cs="宋体"/>
      <w:color w:val="FF0000"/>
      <w:sz w:val="24"/>
      <w:szCs w:val="24"/>
      <w:u w:val="none"/>
    </w:rPr>
  </w:style>
  <w:style w:type="paragraph" w:customStyle="1" w:styleId="23">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4">
    <w:name w:val="font11"/>
    <w:basedOn w:val="13"/>
    <w:qFormat/>
    <w:uiPriority w:val="0"/>
    <w:rPr>
      <w:rFonts w:hint="eastAsia" w:ascii="宋体" w:hAnsi="宋体" w:eastAsia="宋体" w:cs="宋体"/>
      <w:color w:val="000000"/>
      <w:sz w:val="22"/>
      <w:szCs w:val="22"/>
      <w:u w:val="none"/>
    </w:rPr>
  </w:style>
  <w:style w:type="character" w:customStyle="1" w:styleId="25">
    <w:name w:val="font41"/>
    <w:basedOn w:val="13"/>
    <w:qFormat/>
    <w:uiPriority w:val="0"/>
    <w:rPr>
      <w:rFonts w:hint="eastAsia" w:ascii="宋体" w:hAnsi="宋体" w:eastAsia="宋体" w:cs="宋体"/>
      <w:color w:val="000000"/>
      <w:sz w:val="22"/>
      <w:szCs w:val="22"/>
      <w:u w:val="none"/>
      <w:vertAlign w:val="superscript"/>
    </w:rPr>
  </w:style>
  <w:style w:type="paragraph" w:customStyle="1" w:styleId="26">
    <w:name w:val="Table Paragraph"/>
    <w:basedOn w:val="1"/>
    <w:qFormat/>
    <w:uiPriority w:val="1"/>
    <w:pPr>
      <w:spacing w:before="161"/>
      <w:ind w:left="301" w:right="255"/>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901</Words>
  <Characters>972</Characters>
  <Lines>55</Lines>
  <Paragraphs>15</Paragraphs>
  <TotalTime>3</TotalTime>
  <ScaleCrop>false</ScaleCrop>
  <LinksUpToDate>false</LinksUpToDate>
  <CharactersWithSpaces>1023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2025-08-01T01:27:00Z</cp:lastPrinted>
  <dcterms:modified xsi:type="dcterms:W3CDTF">2025-08-29T02:36:38Z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B6D9BB5741254DE7B5970D4CC0988860_13</vt:lpwstr>
  </property>
  <property fmtid="{D5CDD505-2E9C-101B-9397-08002B2CF9AE}" pid="4" name="KSOTemplateDocerSaveRecord">
    <vt:lpwstr>eyJoZGlkIjoiYWU1NDNmY2IxYmMyMzRjZjA2YTM3NGEzN2VhMTM1N2YiLCJ1c2VySWQiOiI4OTgwMjI2MDkifQ==</vt:lpwstr>
  </property>
</Properties>
</file>