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C47B7">
      <w:pPr>
        <w:jc w:val="center"/>
        <w:rPr>
          <w:rFonts w:hint="eastAsia" w:ascii="黑体" w:hAnsi="黑体" w:eastAsia="黑体" w:cs="黑体"/>
          <w:sz w:val="52"/>
          <w:szCs w:val="52"/>
        </w:rPr>
      </w:pPr>
    </w:p>
    <w:p w14:paraId="65B94FD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615692A0">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输尿管支架及附件等一批高值耗材</w:t>
      </w:r>
    </w:p>
    <w:p w14:paraId="3D30E29C">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采购项目</w:t>
      </w:r>
    </w:p>
    <w:p w14:paraId="2B5524CA">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3156D1FD">
      <w:pPr>
        <w:jc w:val="center"/>
        <w:rPr>
          <w:rFonts w:ascii="黑体" w:hAnsi="黑体" w:eastAsia="黑体" w:cs="黑体"/>
          <w:sz w:val="52"/>
          <w:szCs w:val="52"/>
        </w:rPr>
      </w:pPr>
    </w:p>
    <w:p w14:paraId="38DC5D18">
      <w:pPr>
        <w:rPr>
          <w:rFonts w:hint="eastAsia" w:ascii="黑体" w:hAnsi="黑体" w:eastAsia="黑体" w:cs="黑体"/>
          <w:sz w:val="52"/>
          <w:szCs w:val="52"/>
        </w:rPr>
      </w:pPr>
    </w:p>
    <w:p w14:paraId="42C0AAED">
      <w:pPr>
        <w:pStyle w:val="16"/>
        <w:rPr>
          <w:rFonts w:hint="eastAsia"/>
        </w:rPr>
      </w:pPr>
    </w:p>
    <w:p w14:paraId="292CF557">
      <w:pPr>
        <w:pStyle w:val="16"/>
        <w:rPr>
          <w:rFonts w:hint="eastAsia"/>
        </w:rPr>
      </w:pPr>
    </w:p>
    <w:p w14:paraId="01EDFE4C">
      <w:pPr>
        <w:pStyle w:val="16"/>
        <w:rPr>
          <w:rFonts w:hint="eastAsia"/>
        </w:rPr>
      </w:pPr>
    </w:p>
    <w:p w14:paraId="36E08AD8">
      <w:pPr>
        <w:jc w:val="center"/>
        <w:rPr>
          <w:rFonts w:ascii="黑体" w:hAnsi="黑体" w:eastAsia="黑体" w:cs="黑体"/>
          <w:sz w:val="52"/>
          <w:szCs w:val="52"/>
        </w:rPr>
      </w:pPr>
    </w:p>
    <w:p w14:paraId="116A3526">
      <w:pPr>
        <w:pStyle w:val="16"/>
        <w:rPr>
          <w:rFonts w:ascii="黑体" w:hAnsi="黑体" w:eastAsia="黑体" w:cs="黑体"/>
          <w:sz w:val="52"/>
          <w:szCs w:val="52"/>
        </w:rPr>
      </w:pPr>
    </w:p>
    <w:p w14:paraId="0FE17A2D">
      <w:pPr>
        <w:pStyle w:val="2"/>
      </w:pPr>
    </w:p>
    <w:p w14:paraId="4A92ED71">
      <w:pPr>
        <w:jc w:val="center"/>
        <w:rPr>
          <w:rFonts w:ascii="黑体" w:hAnsi="黑体" w:eastAsia="黑体" w:cs="黑体"/>
          <w:sz w:val="52"/>
          <w:szCs w:val="52"/>
        </w:rPr>
      </w:pPr>
    </w:p>
    <w:p w14:paraId="2B71216C">
      <w:pPr>
        <w:pStyle w:val="16"/>
      </w:pPr>
    </w:p>
    <w:p w14:paraId="7666FF88">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2E0D662D">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2025年4月14日</w:t>
      </w:r>
    </w:p>
    <w:p w14:paraId="728EB0A4">
      <w:pPr>
        <w:pStyle w:val="16"/>
        <w:rPr>
          <w:rFonts w:hint="eastAsia"/>
          <w:lang w:val="en-US" w:eastAsia="zh-CN"/>
        </w:rPr>
      </w:pPr>
    </w:p>
    <w:p w14:paraId="7FB8759B">
      <w:pPr>
        <w:pStyle w:val="16"/>
        <w:rPr>
          <w:rFonts w:hint="eastAsia" w:ascii="黑体" w:hAnsi="黑体" w:eastAsia="黑体" w:cs="黑体"/>
          <w:sz w:val="32"/>
          <w:szCs w:val="32"/>
          <w:lang w:val="en-US" w:eastAsia="zh-CN"/>
        </w:rPr>
      </w:pPr>
    </w:p>
    <w:p w14:paraId="2BA9B1C8">
      <w:pPr>
        <w:pStyle w:val="16"/>
        <w:rPr>
          <w:rFonts w:hint="eastAsia" w:ascii="黑体" w:hAnsi="黑体" w:eastAsia="黑体" w:cs="黑体"/>
          <w:sz w:val="32"/>
          <w:szCs w:val="32"/>
          <w:lang w:val="en-US" w:eastAsia="zh-CN"/>
        </w:rPr>
      </w:pPr>
    </w:p>
    <w:p w14:paraId="393E1405">
      <w:pPr>
        <w:pStyle w:val="16"/>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14:paraId="4DB73057">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A89337D">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268BDE7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2C02FCD3">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33E1DF52">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4423C4D4">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3CC2F637">
      <w:pPr>
        <w:rPr>
          <w:rFonts w:ascii="黑体" w:hAnsi="黑体" w:eastAsia="黑体" w:cs="黑体"/>
          <w:sz w:val="32"/>
          <w:szCs w:val="32"/>
        </w:rPr>
      </w:pPr>
      <w:r>
        <w:rPr>
          <w:rFonts w:hint="eastAsia" w:ascii="黑体" w:hAnsi="黑体" w:eastAsia="黑体" w:cs="黑体"/>
          <w:sz w:val="32"/>
          <w:szCs w:val="32"/>
        </w:rPr>
        <w:t xml:space="preserve">           （四）评标办法</w:t>
      </w:r>
    </w:p>
    <w:p w14:paraId="06912A79">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DD64226">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4B3E09AB">
      <w:pPr>
        <w:rPr>
          <w:rFonts w:ascii="黑体" w:hAnsi="黑体" w:eastAsia="黑体" w:cs="黑体"/>
          <w:sz w:val="32"/>
          <w:szCs w:val="32"/>
        </w:rPr>
      </w:pPr>
    </w:p>
    <w:p w14:paraId="66D4B179">
      <w:pPr>
        <w:rPr>
          <w:rFonts w:ascii="黑体" w:hAnsi="黑体" w:eastAsia="黑体" w:cs="黑体"/>
          <w:sz w:val="32"/>
          <w:szCs w:val="32"/>
        </w:rPr>
      </w:pPr>
    </w:p>
    <w:p w14:paraId="4C844F60">
      <w:pPr>
        <w:rPr>
          <w:rFonts w:ascii="黑体" w:hAnsi="黑体" w:eastAsia="黑体" w:cs="黑体"/>
          <w:sz w:val="32"/>
          <w:szCs w:val="32"/>
        </w:rPr>
      </w:pPr>
    </w:p>
    <w:p w14:paraId="6FD2FFA6">
      <w:pPr>
        <w:rPr>
          <w:rFonts w:ascii="黑体" w:hAnsi="黑体" w:eastAsia="黑体" w:cs="黑体"/>
          <w:sz w:val="32"/>
          <w:szCs w:val="32"/>
        </w:rPr>
      </w:pPr>
    </w:p>
    <w:p w14:paraId="284E58F1">
      <w:pPr>
        <w:rPr>
          <w:rFonts w:ascii="黑体" w:hAnsi="黑体" w:eastAsia="黑体" w:cs="黑体"/>
          <w:sz w:val="32"/>
          <w:szCs w:val="32"/>
        </w:rPr>
      </w:pPr>
    </w:p>
    <w:p w14:paraId="2098B560">
      <w:pPr>
        <w:rPr>
          <w:rFonts w:ascii="黑体" w:hAnsi="黑体" w:eastAsia="黑体" w:cs="黑体"/>
          <w:sz w:val="32"/>
          <w:szCs w:val="32"/>
        </w:rPr>
      </w:pPr>
    </w:p>
    <w:p w14:paraId="7D830835">
      <w:pPr>
        <w:pStyle w:val="16"/>
        <w:rPr>
          <w:rFonts w:ascii="黑体" w:hAnsi="黑体" w:eastAsia="黑体" w:cs="黑体"/>
          <w:sz w:val="32"/>
          <w:szCs w:val="32"/>
        </w:rPr>
      </w:pPr>
    </w:p>
    <w:p w14:paraId="73AE0D7F">
      <w:pPr>
        <w:pStyle w:val="16"/>
        <w:rPr>
          <w:rFonts w:ascii="黑体" w:hAnsi="黑体" w:eastAsia="黑体" w:cs="黑体"/>
          <w:sz w:val="32"/>
          <w:szCs w:val="32"/>
        </w:rPr>
      </w:pPr>
    </w:p>
    <w:p w14:paraId="7DA8F923">
      <w:pPr>
        <w:rPr>
          <w:rFonts w:ascii="黑体" w:hAnsi="黑体" w:eastAsia="黑体" w:cs="黑体"/>
          <w:sz w:val="32"/>
          <w:szCs w:val="32"/>
        </w:rPr>
      </w:pPr>
    </w:p>
    <w:p w14:paraId="6A84A0A3">
      <w:pPr>
        <w:rPr>
          <w:rFonts w:ascii="黑体" w:hAnsi="黑体" w:eastAsia="黑体" w:cs="黑体"/>
          <w:sz w:val="32"/>
          <w:szCs w:val="32"/>
        </w:rPr>
      </w:pPr>
    </w:p>
    <w:p w14:paraId="7289FED7">
      <w:pPr>
        <w:pStyle w:val="16"/>
      </w:pPr>
    </w:p>
    <w:p w14:paraId="3B219F84">
      <w:pPr>
        <w:rPr>
          <w:rFonts w:ascii="黑体" w:hAnsi="黑体" w:eastAsia="黑体" w:cs="黑体"/>
          <w:sz w:val="32"/>
          <w:szCs w:val="32"/>
        </w:rPr>
      </w:pPr>
    </w:p>
    <w:p w14:paraId="137F97B5">
      <w:pPr>
        <w:pStyle w:val="16"/>
        <w:rPr>
          <w:rFonts w:ascii="黑体" w:hAnsi="黑体" w:eastAsia="黑体" w:cs="黑体"/>
          <w:sz w:val="32"/>
          <w:szCs w:val="32"/>
        </w:rPr>
      </w:pPr>
    </w:p>
    <w:p w14:paraId="464FE7CE">
      <w:pPr>
        <w:pStyle w:val="16"/>
        <w:rPr>
          <w:rFonts w:ascii="黑体" w:hAnsi="黑体" w:eastAsia="黑体" w:cs="黑体"/>
          <w:sz w:val="32"/>
          <w:szCs w:val="32"/>
        </w:rPr>
      </w:pPr>
    </w:p>
    <w:p w14:paraId="752AE8EA">
      <w:pPr>
        <w:numPr>
          <w:ilvl w:val="0"/>
          <w:numId w:val="3"/>
        </w:numPr>
        <w:jc w:val="center"/>
        <w:rPr>
          <w:rFonts w:ascii="黑体" w:hAnsi="黑体" w:eastAsia="黑体" w:cs="黑体"/>
          <w:sz w:val="32"/>
          <w:szCs w:val="32"/>
        </w:rPr>
      </w:pPr>
      <w:r>
        <w:rPr>
          <w:rFonts w:hint="eastAsia" w:ascii="黑体" w:hAnsi="黑体" w:eastAsia="黑体" w:cs="黑体"/>
          <w:sz w:val="32"/>
          <w:szCs w:val="32"/>
          <w:lang w:val="en-US" w:eastAsia="zh-CN"/>
        </w:rPr>
        <w:t>采购</w:t>
      </w:r>
      <w:r>
        <w:rPr>
          <w:rFonts w:hint="eastAsia" w:ascii="黑体" w:hAnsi="黑体" w:eastAsia="黑体" w:cs="黑体"/>
          <w:sz w:val="32"/>
          <w:szCs w:val="32"/>
        </w:rPr>
        <w:t>公告</w:t>
      </w:r>
    </w:p>
    <w:p w14:paraId="4959BAD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输尿管支架及附件等一批高值耗材采购项目，</w:t>
      </w:r>
      <w:r>
        <w:rPr>
          <w:rFonts w:hint="eastAsia" w:ascii="仿宋_GB2312" w:eastAsia="仿宋_GB2312"/>
          <w:sz w:val="32"/>
          <w:szCs w:val="32"/>
          <w:lang w:eastAsia="zh-CN"/>
        </w:rPr>
        <w:t>具体事宜公布如下：</w:t>
      </w:r>
    </w:p>
    <w:p w14:paraId="2AC5BC68">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A01C65">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输尿管支架及附件等一批高值耗材采购项目</w:t>
      </w:r>
      <w:r>
        <w:rPr>
          <w:rFonts w:hint="eastAsia" w:ascii="仿宋_GB2312" w:eastAsia="仿宋_GB2312"/>
          <w:sz w:val="32"/>
          <w:szCs w:val="32"/>
        </w:rPr>
        <w:t>。</w:t>
      </w:r>
    </w:p>
    <w:p w14:paraId="5842258E">
      <w:pPr>
        <w:keepNext w:val="0"/>
        <w:keepLines w:val="0"/>
        <w:pageBreakBefore w:val="0"/>
        <w:widowControl w:val="0"/>
        <w:numPr>
          <w:ilvl w:val="0"/>
          <w:numId w:val="4"/>
        </w:numPr>
        <w:kinsoku/>
        <w:wordWrap/>
        <w:overflowPunct/>
        <w:topLinePunct w:val="0"/>
        <w:autoSpaceDE/>
        <w:autoSpaceDN/>
        <w:bidi w:val="0"/>
        <w:adjustRightInd/>
        <w:snapToGrid/>
        <w:spacing w:line="578"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W w:w="95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
        <w:gridCol w:w="2148"/>
        <w:gridCol w:w="6880"/>
      </w:tblGrid>
      <w:tr w14:paraId="79132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nil"/>
              <w:right w:val="single" w:color="000000" w:sz="4" w:space="0"/>
            </w:tcBorders>
            <w:noWrap w:val="0"/>
            <w:vAlign w:val="center"/>
          </w:tcPr>
          <w:p w14:paraId="5289DF22">
            <w:pPr>
              <w:keepNext w:val="0"/>
              <w:keepLines w:val="0"/>
              <w:widowControl/>
              <w:suppressLineNumbers w:val="0"/>
              <w:jc w:val="left"/>
              <w:textAlignment w:val="center"/>
              <w:rPr>
                <w:rFonts w:ascii="黑体" w:hAnsi="宋体" w:eastAsia="黑体" w:cs="黑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序号</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A8F6807">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耗材名称</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C15375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招标参数</w:t>
            </w:r>
          </w:p>
        </w:tc>
      </w:tr>
      <w:tr w14:paraId="3D0F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BD34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495F0FA">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22"/>
                <w:szCs w:val="22"/>
                <w:u w:val="none"/>
                <w:lang w:val="en-US" w:eastAsia="zh-CN" w:bidi="ar"/>
              </w:rPr>
              <w:t>输尿管支架及附件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46A13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产品由支架管、导丝（带保护套）、推管、夹子组成，环氧乙烷灭菌，一次性使用。用于将尿液从肾脏引流到膀胱或体外（单端弯曲支架管）。可在体内放置6个月。</w:t>
            </w:r>
          </w:p>
        </w:tc>
      </w:tr>
      <w:tr w14:paraId="0770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1998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27257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输尿管支架及附件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C5406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产品由导管、夹子、导丝、推管组成。产品无菌供应，一次性使用。通过微创介入或开放手术置入肾盂与膀胱间，起支撑、引流作用。</w:t>
            </w:r>
          </w:p>
        </w:tc>
      </w:tr>
      <w:tr w14:paraId="401C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8AFC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20B955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一次性使用泌尿道导丝</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C92DC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在泌尿系统内窥镜下与J型导管和微创扩张引流套件配套使用，起支撑、引导作用。</w:t>
            </w:r>
          </w:p>
        </w:tc>
      </w:tr>
      <w:tr w14:paraId="3DBC9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8203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3E332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一次性使用内窥镜取石导管</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1DB5B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供泌尿诊疗时在内窥镜下操控结石以及其他异物用。</w:t>
            </w:r>
          </w:p>
        </w:tc>
      </w:tr>
      <w:tr w14:paraId="1EB9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66A0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E43FB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一次性使用内窥镜取石篮</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D54B3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供内窥镜下抓住、操控和取出结石以及其他异物用。</w:t>
            </w:r>
          </w:p>
        </w:tc>
      </w:tr>
      <w:tr w14:paraId="7599B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4687D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1C513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一次性输尿管导引鞘</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D2E2A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仅用于泌尿外科输尿管镜手术中，用作建立器械通道。</w:t>
            </w:r>
          </w:p>
        </w:tc>
      </w:tr>
      <w:tr w14:paraId="230FE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F51C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368C4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一次性使用包皮切割吻合器</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D9516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适用于临床包皮切割缝合手术。</w:t>
            </w:r>
          </w:p>
        </w:tc>
      </w:tr>
      <w:tr w14:paraId="65076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EFF2E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4F8C4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一次性使用输尿管内窥镜导管</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253C4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用于泌尿系统上尿路疾病检查、诊断或治疗中成像。</w:t>
            </w:r>
          </w:p>
        </w:tc>
      </w:tr>
      <w:tr w14:paraId="517FF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B1696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704AC2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超声切割止血刀附件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781E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产品适用于需要控制出血和最小程度热损伤的软组织切割。</w:t>
            </w:r>
            <w:r>
              <w:rPr>
                <w:rFonts w:hint="eastAsia" w:ascii="宋体" w:hAnsi="宋体" w:eastAsia="宋体" w:cs="宋体"/>
                <w:i w:val="0"/>
                <w:iCs w:val="0"/>
                <w:color w:val="FF0000"/>
                <w:kern w:val="0"/>
                <w:sz w:val="22"/>
                <w:szCs w:val="22"/>
                <w:u w:val="none"/>
                <w:lang w:val="en-US" w:eastAsia="zh-CN" w:bidi="ar"/>
              </w:rPr>
              <w:t>用于闭合直径不超过3mm的血管。</w:t>
            </w:r>
          </w:p>
        </w:tc>
      </w:tr>
      <w:tr w14:paraId="318F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549D5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B9506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超声切割止血刀附件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73A2A6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产品适用于需要控制出血和最小程度热损伤的软组织切割。</w:t>
            </w:r>
            <w:r>
              <w:rPr>
                <w:rFonts w:hint="eastAsia" w:ascii="宋体" w:hAnsi="宋体" w:eastAsia="宋体" w:cs="宋体"/>
                <w:i w:val="0"/>
                <w:iCs w:val="0"/>
                <w:color w:val="FF0000"/>
                <w:kern w:val="0"/>
                <w:sz w:val="22"/>
                <w:szCs w:val="22"/>
                <w:u w:val="none"/>
                <w:lang w:val="en-US" w:eastAsia="zh-CN" w:bidi="ar"/>
              </w:rPr>
              <w:t>用于闭合直径不超过5mm的血管。</w:t>
            </w:r>
          </w:p>
        </w:tc>
      </w:tr>
      <w:tr w14:paraId="74D82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081BD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3707AB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外科术中止血消融电极（刀状）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C1250A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与高频手术设备、吸引器设备配套使用，供手术时对组织进行电凝、电切、吸引作用。</w:t>
            </w:r>
            <w:r>
              <w:rPr>
                <w:rFonts w:hint="eastAsia" w:ascii="宋体" w:hAnsi="宋体" w:eastAsia="宋体" w:cs="宋体"/>
                <w:i w:val="0"/>
                <w:iCs w:val="0"/>
                <w:color w:val="FF0000"/>
                <w:kern w:val="0"/>
                <w:sz w:val="22"/>
                <w:szCs w:val="22"/>
                <w:u w:val="none"/>
                <w:lang w:val="en-US" w:eastAsia="zh-CN" w:bidi="ar"/>
              </w:rPr>
              <w:t>刀状电极</w:t>
            </w:r>
          </w:p>
        </w:tc>
      </w:tr>
      <w:tr w14:paraId="1FDD1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6FD6C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6CFAD18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外科术中止血消融电极（针状）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BD7A5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与高频手术设备、吸引器设备配套使用，供手术时对组织进行电凝、电切、吸引作用。</w:t>
            </w:r>
            <w:r>
              <w:rPr>
                <w:rFonts w:hint="eastAsia" w:ascii="宋体" w:hAnsi="宋体" w:eastAsia="宋体" w:cs="宋体"/>
                <w:i w:val="0"/>
                <w:iCs w:val="0"/>
                <w:color w:val="FF0000"/>
                <w:kern w:val="0"/>
                <w:sz w:val="22"/>
                <w:szCs w:val="22"/>
                <w:u w:val="none"/>
                <w:lang w:val="en-US" w:eastAsia="zh-CN" w:bidi="ar"/>
              </w:rPr>
              <w:t>针状电极</w:t>
            </w:r>
          </w:p>
        </w:tc>
      </w:tr>
      <w:tr w14:paraId="01D9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3E1D47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8740B6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一次性使用腹腔镜用穿刺器</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56F26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适用于腹腔镜检查和手术过程中，对人体腹壁组织穿刺，建立腹腔手术的工作通道用。</w:t>
            </w:r>
          </w:p>
        </w:tc>
      </w:tr>
      <w:tr w14:paraId="57CA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3939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20E819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一次性双极电凝切割钳</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5A66A2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本产品与高频手术设备互连使用，用于在内窥镜手术中进行切割、电凝止血。</w:t>
            </w:r>
          </w:p>
        </w:tc>
      </w:tr>
      <w:tr w14:paraId="38B51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34783C2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0C473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颈动脉转流管</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2F44F18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适用于颈动脉内膜剥离术，以临时导管的形式让血液在颈总动脉和颈内动脉间正常流通。</w:t>
            </w:r>
          </w:p>
        </w:tc>
      </w:tr>
      <w:tr w14:paraId="62973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001E37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469DD13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一次性使用腔镜直线型切割吻合器及钉仓</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04A58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适用于开放或内镜下的外科手术中，肺、支气管组织及胃、肠切除、横断和吻合。</w:t>
            </w:r>
          </w:p>
        </w:tc>
      </w:tr>
      <w:tr w14:paraId="61CDF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86030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4A391E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痔疮套扎吻合器</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0A964B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供临床治疗内痔用。</w:t>
            </w:r>
          </w:p>
        </w:tc>
      </w:tr>
      <w:tr w14:paraId="516BC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63A695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4A0F5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疝修补补片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40B05EC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适用于股疝或II-IV型腹股沟疝的无张力疝修补术。</w:t>
            </w:r>
            <w:r>
              <w:rPr>
                <w:rFonts w:hint="eastAsia" w:ascii="宋体" w:hAnsi="宋体" w:eastAsia="宋体" w:cs="宋体"/>
                <w:i w:val="0"/>
                <w:iCs w:val="0"/>
                <w:color w:val="FF0000"/>
                <w:kern w:val="0"/>
                <w:sz w:val="22"/>
                <w:szCs w:val="22"/>
                <w:u w:val="none"/>
                <w:lang w:val="en-US" w:eastAsia="zh-CN" w:bidi="ar"/>
              </w:rPr>
              <w:t>平片</w:t>
            </w:r>
          </w:p>
        </w:tc>
      </w:tr>
      <w:tr w14:paraId="784C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780D60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2D1B1E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疝修补补片</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33A1654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适用于股疝或II-IV型腹股沟疝的无张力疝修补术。</w:t>
            </w:r>
            <w:r>
              <w:rPr>
                <w:rFonts w:hint="eastAsia" w:ascii="宋体" w:hAnsi="宋体" w:eastAsia="宋体" w:cs="宋体"/>
                <w:i w:val="0"/>
                <w:iCs w:val="0"/>
                <w:color w:val="FF0000"/>
                <w:kern w:val="0"/>
                <w:sz w:val="22"/>
                <w:szCs w:val="22"/>
                <w:u w:val="none"/>
                <w:lang w:val="en-US" w:eastAsia="zh-CN" w:bidi="ar"/>
              </w:rPr>
              <w:t>立体</w:t>
            </w:r>
          </w:p>
        </w:tc>
      </w:tr>
      <w:tr w14:paraId="0AA6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15B4F2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0054A03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一次性可旋转重复开闭软组织夹</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60FE166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与内窥镜配套使用，用于在消化道内放置夹子。夹子用于内窥镜下的标记、消化道组织的止血。</w:t>
            </w:r>
          </w:p>
        </w:tc>
      </w:tr>
      <w:tr w14:paraId="72A0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06CDD3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5B17B2A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超乳液流套件</w:t>
            </w:r>
          </w:p>
        </w:tc>
        <w:tc>
          <w:tcPr>
            <w:tcW w:w="6880" w:type="dxa"/>
            <w:tcBorders>
              <w:top w:val="single" w:color="000000" w:sz="4" w:space="0"/>
              <w:left w:val="single" w:color="000000" w:sz="4" w:space="0"/>
              <w:bottom w:val="single" w:color="000000" w:sz="4" w:space="0"/>
              <w:right w:val="single" w:color="000000" w:sz="4" w:space="0"/>
            </w:tcBorders>
            <w:noWrap w:val="0"/>
            <w:vAlign w:val="center"/>
          </w:tcPr>
          <w:p w14:paraId="052104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用于眼科超声乳化手术时的抽吸、灌注液体通道。</w:t>
            </w:r>
          </w:p>
        </w:tc>
      </w:tr>
      <w:tr w14:paraId="285C0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31" w:type="dxa"/>
            <w:tcBorders>
              <w:top w:val="single" w:color="000000" w:sz="4" w:space="0"/>
              <w:left w:val="single" w:color="000000" w:sz="4" w:space="0"/>
              <w:bottom w:val="single" w:color="000000" w:sz="4" w:space="0"/>
              <w:right w:val="single" w:color="000000" w:sz="4" w:space="0"/>
            </w:tcBorders>
            <w:noWrap w:val="0"/>
            <w:vAlign w:val="center"/>
          </w:tcPr>
          <w:p w14:paraId="3556A1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148" w:type="dxa"/>
            <w:tcBorders>
              <w:top w:val="single" w:color="000000" w:sz="4" w:space="0"/>
              <w:left w:val="single" w:color="000000" w:sz="4" w:space="0"/>
              <w:bottom w:val="single" w:color="000000" w:sz="4" w:space="0"/>
              <w:right w:val="single" w:color="000000" w:sz="4" w:space="0"/>
            </w:tcBorders>
            <w:noWrap w:val="0"/>
            <w:vAlign w:val="center"/>
          </w:tcPr>
          <w:p w14:paraId="1C2C60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一次性射频等离子体刀头</w:t>
            </w:r>
          </w:p>
        </w:tc>
        <w:tc>
          <w:tcPr>
            <w:tcW w:w="6880" w:type="dxa"/>
            <w:tcBorders>
              <w:top w:val="single" w:color="000000" w:sz="4" w:space="0"/>
              <w:left w:val="single" w:color="000000" w:sz="4" w:space="0"/>
              <w:bottom w:val="single" w:color="000000" w:sz="4" w:space="0"/>
              <w:right w:val="single" w:color="000000" w:sz="4" w:space="0"/>
            </w:tcBorders>
            <w:shd w:val="clear"/>
            <w:noWrap w:val="0"/>
            <w:vAlign w:val="center"/>
          </w:tcPr>
          <w:p w14:paraId="673C39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与射频等离子手术主机配合使用，在耳鼻喉科手术中对人体软组织做切割、凝血时用。能满足</w:t>
            </w:r>
            <w:r>
              <w:rPr>
                <w:rStyle w:val="30"/>
                <w:lang w:val="en-US" w:eastAsia="zh-CN" w:bidi="ar"/>
              </w:rPr>
              <w:t>扁腺、鼻腔、喉部、耳内镜</w:t>
            </w:r>
            <w:r>
              <w:rPr>
                <w:rFonts w:hint="eastAsia" w:ascii="宋体" w:hAnsi="宋体" w:eastAsia="宋体" w:cs="宋体"/>
                <w:i w:val="0"/>
                <w:iCs w:val="0"/>
                <w:color w:val="000000"/>
                <w:kern w:val="0"/>
                <w:sz w:val="22"/>
                <w:szCs w:val="22"/>
                <w:u w:val="none"/>
                <w:lang w:val="en-US" w:eastAsia="zh-CN" w:bidi="ar"/>
              </w:rPr>
              <w:t>手术需求。</w:t>
            </w:r>
            <w:r>
              <w:rPr>
                <w:rFonts w:hint="eastAsia" w:ascii="宋体" w:hAnsi="宋体" w:eastAsia="宋体" w:cs="宋体"/>
                <w:b/>
                <w:bCs/>
                <w:i w:val="0"/>
                <w:iCs w:val="0"/>
                <w:color w:val="FF0000"/>
                <w:kern w:val="0"/>
                <w:sz w:val="22"/>
                <w:szCs w:val="22"/>
                <w:u w:val="none"/>
                <w:lang w:val="en-US" w:eastAsia="zh-CN" w:bidi="ar"/>
              </w:rPr>
              <w:t>（报价表各型号后备注使用部位，如扁腺等）</w:t>
            </w:r>
          </w:p>
        </w:tc>
      </w:tr>
    </w:tbl>
    <w:p w14:paraId="6B2D7348">
      <w:pPr>
        <w:pStyle w:val="16"/>
        <w:keepNext w:val="0"/>
        <w:keepLines w:val="0"/>
        <w:pageBreakBefore w:val="0"/>
        <w:kinsoku/>
        <w:wordWrap/>
        <w:overflowPunct/>
        <w:topLinePunct w:val="0"/>
        <w:autoSpaceDE/>
        <w:autoSpaceDN/>
        <w:bidi w:val="0"/>
        <w:snapToGrid/>
        <w:spacing w:line="480" w:lineRule="exact"/>
        <w:textAlignment w:val="auto"/>
        <w:outlineLvl w:val="9"/>
        <w:rPr>
          <w:rFonts w:hint="eastAsia" w:ascii="黑体" w:eastAsia="黑体"/>
          <w:sz w:val="32"/>
          <w:szCs w:val="32"/>
          <w:lang w:val="en-US" w:eastAsia="zh-CN"/>
        </w:rPr>
      </w:pPr>
      <w:bookmarkStart w:id="15" w:name="_GoBack"/>
      <w:bookmarkEnd w:id="15"/>
    </w:p>
    <w:p w14:paraId="6878AE79">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项目要求：</w:t>
      </w:r>
      <w:r>
        <w:rPr>
          <w:rFonts w:hint="eastAsia" w:ascii="仿宋_GB2312" w:hAnsi="Calibri" w:eastAsia="仿宋_GB2312" w:cs="Times New Roman"/>
          <w:kern w:val="2"/>
          <w:sz w:val="32"/>
          <w:szCs w:val="32"/>
          <w:lang w:val="en-US" w:eastAsia="zh-CN" w:bidi="ar-SA"/>
        </w:rPr>
        <w:t>详细要求参照采购文件第三章合同条款</w:t>
      </w:r>
    </w:p>
    <w:p w14:paraId="4379E41A">
      <w:pPr>
        <w:pStyle w:val="16"/>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服务期限：</w:t>
      </w:r>
      <w:r>
        <w:rPr>
          <w:rFonts w:hint="eastAsia" w:ascii="仿宋_GB2312" w:eastAsia="仿宋_GB2312" w:cs="Times New Roman"/>
          <w:kern w:val="2"/>
          <w:sz w:val="32"/>
          <w:szCs w:val="32"/>
          <w:lang w:val="en-US" w:eastAsia="zh-CN" w:bidi="ar-SA"/>
        </w:rPr>
        <w:t>三年</w:t>
      </w:r>
    </w:p>
    <w:p w14:paraId="3EAF5C3F">
      <w:pPr>
        <w:keepNext w:val="0"/>
        <w:keepLines w:val="0"/>
        <w:pageBreakBefore w:val="0"/>
        <w:numPr>
          <w:ilvl w:val="0"/>
          <w:numId w:val="4"/>
        </w:numPr>
        <w:kinsoku/>
        <w:wordWrap/>
        <w:overflowPunct/>
        <w:topLinePunct w:val="0"/>
        <w:autoSpaceDE/>
        <w:autoSpaceDN/>
        <w:bidi w:val="0"/>
        <w:snapToGrid/>
        <w:spacing w:line="578"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70BB5E01">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；具有医疗器械经营许可证；</w:t>
      </w:r>
    </w:p>
    <w:p w14:paraId="0E5F5C9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78"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3B5FC59F">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1668CE7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74A6A615">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17F236F9">
      <w:pPr>
        <w:keepNext w:val="0"/>
        <w:keepLines w:val="0"/>
        <w:pageBreakBefore w:val="0"/>
        <w:kinsoku/>
        <w:wordWrap/>
        <w:overflowPunct/>
        <w:topLinePunct w:val="0"/>
        <w:autoSpaceDE/>
        <w:autoSpaceDN/>
        <w:bidi w:val="0"/>
        <w:snapToGrid/>
        <w:spacing w:line="578"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1483385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4248EF3B">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原件及复印件一份，授权委托书以及被授权人身份证、产品授权书、</w:t>
      </w:r>
      <w:r>
        <w:rPr>
          <w:rFonts w:hint="eastAsia" w:ascii="仿宋_GB2312" w:eastAsia="仿宋_GB2312" w:cs="Times New Roman"/>
          <w:color w:val="FF0000"/>
          <w:sz w:val="32"/>
          <w:szCs w:val="32"/>
          <w:lang w:eastAsia="zh-CN"/>
        </w:rPr>
        <w:t>医疗器械经营许可证。</w:t>
      </w:r>
    </w:p>
    <w:p w14:paraId="12377A5D">
      <w:pPr>
        <w:pStyle w:val="16"/>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07DBE472">
      <w:pPr>
        <w:keepNext w:val="0"/>
        <w:keepLines w:val="0"/>
        <w:pageBreakBefore w:val="0"/>
        <w:numPr>
          <w:ilvl w:val="0"/>
          <w:numId w:val="0"/>
        </w:numPr>
        <w:kinsoku/>
        <w:wordWrap/>
        <w:overflowPunct/>
        <w:topLinePunct w:val="0"/>
        <w:autoSpaceDE/>
        <w:autoSpaceDN/>
        <w:bidi w:val="0"/>
        <w:snapToGrid/>
        <w:spacing w:line="578"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076C9C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64C4BEE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14:paraId="7CE2B95C">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48F2F90A">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7DD1A35E">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5430B7F0">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62E99C7B">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35225E2F">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5EA3A99C">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2E961D3D">
      <w:pPr>
        <w:keepNext w:val="0"/>
        <w:keepLines w:val="0"/>
        <w:pageBreakBefore w:val="0"/>
        <w:kinsoku/>
        <w:wordWrap/>
        <w:overflowPunct/>
        <w:topLinePunct w:val="0"/>
        <w:autoSpaceDE/>
        <w:autoSpaceDN/>
        <w:bidi w:val="0"/>
        <w:adjustRightInd/>
        <w:snapToGrid/>
        <w:spacing w:line="578"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7D99898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FE39D7E">
      <w:pPr>
        <w:pStyle w:val="2"/>
        <w:rPr>
          <w:rFonts w:hint="default" w:ascii="仿宋_GB2312" w:eastAsia="仿宋_GB2312"/>
          <w:b/>
          <w:sz w:val="32"/>
          <w:szCs w:val="32"/>
        </w:rPr>
      </w:pPr>
    </w:p>
    <w:p w14:paraId="2DF93304">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9DADF6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375C7CB5">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17DA38D9">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53CB8513">
      <w:pPr>
        <w:pStyle w:val="16"/>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245077D7">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0CDDEB4C">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72771EF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35360F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01B737A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3D7D16E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4932E84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0DFD15B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6DFFEA3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365B9892">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07599365">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3ACB057B">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7F5F09A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32DF8F16">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14:paraId="3D19452A">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11D61BE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24E1210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5ED1F32A">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4772DC22">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141BF494">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DC7C49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757047B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7C98721C">
      <w:pPr>
        <w:pStyle w:val="16"/>
      </w:pPr>
    </w:p>
    <w:p w14:paraId="0A974A45">
      <w:pPr>
        <w:pStyle w:val="16"/>
      </w:pPr>
    </w:p>
    <w:p w14:paraId="29592B98">
      <w:pPr>
        <w:pStyle w:val="16"/>
      </w:pPr>
    </w:p>
    <w:p w14:paraId="02454AFE">
      <w:pPr>
        <w:pStyle w:val="16"/>
      </w:pPr>
    </w:p>
    <w:p w14:paraId="5435F417">
      <w:pPr>
        <w:pStyle w:val="16"/>
      </w:pPr>
    </w:p>
    <w:p w14:paraId="703DF16B">
      <w:pPr>
        <w:pStyle w:val="16"/>
      </w:pPr>
    </w:p>
    <w:p w14:paraId="6361D40B">
      <w:pPr>
        <w:pStyle w:val="16"/>
      </w:pPr>
    </w:p>
    <w:p w14:paraId="335FEB2F">
      <w:pPr>
        <w:pStyle w:val="16"/>
      </w:pPr>
    </w:p>
    <w:p w14:paraId="552D086C">
      <w:pPr>
        <w:pStyle w:val="16"/>
      </w:pPr>
    </w:p>
    <w:p w14:paraId="7A322223">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05275FF6">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51EEDA3F">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3C6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039B4BE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06288D6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8BFD60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1150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1EA739DF">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7E27925A">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23D261DF">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7C2409C9">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4EEAA723">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4701951">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62C9F8FC">
            <w:pPr>
              <w:pStyle w:val="1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17A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6C183B38">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40DA93BD">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14:paraId="02D09B37">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0B95705D">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14:paraId="0A40393B">
            <w:pPr>
              <w:spacing w:line="360" w:lineRule="auto"/>
              <w:jc w:val="left"/>
              <w:rPr>
                <w:rFonts w:ascii="宋体" w:hAnsi="宋体" w:eastAsia="宋体" w:cs="宋体"/>
                <w:b/>
                <w:color w:val="000000" w:themeColor="text1"/>
                <w:szCs w:val="21"/>
                <w14:textFill>
                  <w14:solidFill>
                    <w14:schemeClr w14:val="tx1"/>
                  </w14:solidFill>
                </w14:textFill>
              </w:rPr>
            </w:pPr>
          </w:p>
        </w:tc>
      </w:tr>
      <w:tr w14:paraId="73E3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4520EA05">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39A7CC0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77F41EBB">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14:paraId="6BF3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74D75F3E">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2A09EF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4CFBB0C3">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F75A349">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14:paraId="0CCC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7A1253AD">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614E19FE">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1B0E81F5">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14:paraId="52C29B9A">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w:t>
            </w:r>
            <w:r>
              <w:rPr>
                <w:rFonts w:hint="eastAsia" w:ascii="宋体" w:hAnsi="宋体" w:cs="宋体"/>
                <w:color w:val="000000" w:themeColor="text1"/>
                <w:kern w:val="0"/>
                <w:szCs w:val="21"/>
                <w:lang w:val="en-US" w:eastAsia="zh-CN"/>
                <w14:textFill>
                  <w14:solidFill>
                    <w14:schemeClr w14:val="tx1"/>
                  </w14:solidFill>
                </w14:textFill>
              </w:rPr>
              <w:t>21</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14:paraId="0538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14:paraId="617AD001">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14:paraId="030D9F26">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14:paraId="3B54C0DE">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20分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14:paraId="59E26D81">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14:paraId="61EB6FB0">
            <w:pPr>
              <w:pStyle w:val="16"/>
              <w:numPr>
                <w:ilvl w:val="0"/>
                <w:numId w:val="7"/>
              </w:numPr>
              <w:rPr>
                <w:rFonts w:hint="eastAsia"/>
                <w:lang w:val="en-US" w:eastAsia="zh-CN"/>
              </w:rPr>
            </w:pPr>
            <w:r>
              <w:rPr>
                <w:rFonts w:hint="eastAsia"/>
                <w:lang w:val="en-US" w:eastAsia="zh-CN"/>
              </w:rPr>
              <w:t>根据产品的售后方案在0-5分范围内进行打分</w:t>
            </w:r>
          </w:p>
          <w:p w14:paraId="76F1981C">
            <w:pPr>
              <w:pStyle w:val="16"/>
              <w:numPr>
                <w:ilvl w:val="0"/>
                <w:numId w:val="7"/>
              </w:numPr>
              <w:rPr>
                <w:rFonts w:hint="eastAsia"/>
                <w:lang w:val="en-US" w:eastAsia="zh-CN"/>
              </w:rPr>
            </w:pPr>
            <w:r>
              <w:rPr>
                <w:rFonts w:hint="eastAsia"/>
                <w:lang w:val="en-US" w:eastAsia="zh-CN"/>
              </w:rPr>
              <w:t>根据其他优惠条件在0-10分范围内打分</w:t>
            </w:r>
          </w:p>
        </w:tc>
      </w:tr>
    </w:tbl>
    <w:p w14:paraId="46714AC2">
      <w:pPr>
        <w:pStyle w:val="16"/>
        <w:rPr>
          <w:rFonts w:ascii="黑体" w:hAnsi="黑体" w:eastAsia="黑体" w:cs="黑体"/>
          <w:sz w:val="32"/>
          <w:szCs w:val="32"/>
        </w:rPr>
      </w:pPr>
    </w:p>
    <w:p w14:paraId="11895DB0">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76706EEA">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pacing w:val="4"/>
          <w:sz w:val="44"/>
          <w:szCs w:val="44"/>
          <w:lang w:val="en-US" w:eastAsia="zh-CN"/>
        </w:rPr>
      </w:pPr>
      <w:r>
        <w:rPr>
          <w:rFonts w:hint="eastAsia" w:ascii="方正小标宋简体" w:hAnsi="方正小标宋简体" w:eastAsia="方正小标宋简体" w:cs="方正小标宋简体"/>
          <w:color w:val="auto"/>
          <w:spacing w:val="4"/>
          <w:sz w:val="44"/>
          <w:szCs w:val="44"/>
          <w:lang w:val="en-US" w:eastAsia="zh-CN"/>
        </w:rPr>
        <w:t>新郑市公立人民医院</w:t>
      </w:r>
    </w:p>
    <w:p w14:paraId="5C6D4042">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spacing w:val="4"/>
          <w:sz w:val="24"/>
          <w:szCs w:val="24"/>
          <w:lang w:val="en-US" w:eastAsia="zh-CN"/>
        </w:rPr>
      </w:pPr>
      <w:r>
        <w:rPr>
          <w:rFonts w:hint="eastAsia" w:ascii="方正小标宋简体" w:hAnsi="方正小标宋简体" w:eastAsia="方正小标宋简体" w:cs="方正小标宋简体"/>
          <w:color w:val="auto"/>
          <w:spacing w:val="4"/>
          <w:sz w:val="44"/>
          <w:szCs w:val="44"/>
          <w:lang w:val="en-US" w:eastAsia="zh-CN"/>
        </w:rPr>
        <w:t>医用耗材试剂购销合同</w:t>
      </w:r>
    </w:p>
    <w:p w14:paraId="2A4E2A4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spacing w:val="4"/>
          <w:sz w:val="24"/>
          <w:szCs w:val="24"/>
          <w:lang w:val="en-US" w:eastAsia="zh-CN"/>
        </w:rPr>
      </w:pPr>
    </w:p>
    <w:p w14:paraId="0F7E905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甲方：新郑市公立人民医院</w:t>
      </w:r>
    </w:p>
    <w:p w14:paraId="123A7594">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地址：河南省郑州新郑市中华南路</w:t>
      </w:r>
    </w:p>
    <w:p w14:paraId="65F8FD5B">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联系电话：0371-56829202</w:t>
      </w:r>
    </w:p>
    <w:p w14:paraId="3E213380">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开户行及账号：中国农业银行股份有限公司新郑市支行16017001040030511</w:t>
      </w:r>
    </w:p>
    <w:p w14:paraId="39005C78">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乙方：</w:t>
      </w:r>
    </w:p>
    <w:p w14:paraId="722183D6">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地址：</w:t>
      </w:r>
    </w:p>
    <w:p w14:paraId="5A38B29C">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联系电话：</w:t>
      </w:r>
    </w:p>
    <w:p w14:paraId="39821DA5">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开户行及账号：</w:t>
      </w:r>
    </w:p>
    <w:p w14:paraId="6FAFC49F">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pacing w:val="4"/>
          <w:sz w:val="24"/>
        </w:rPr>
      </w:pPr>
    </w:p>
    <w:p w14:paraId="004D9490">
      <w:pPr>
        <w:keepNext w:val="0"/>
        <w:keepLines w:val="0"/>
        <w:pageBreakBefore w:val="0"/>
        <w:widowControl w:val="0"/>
        <w:kinsoku/>
        <w:wordWrap/>
        <w:overflowPunct/>
        <w:topLinePunct w:val="0"/>
        <w:autoSpaceDE/>
        <w:autoSpaceDN/>
        <w:bidi w:val="0"/>
        <w:adjustRightInd/>
        <w:snapToGrid/>
        <w:spacing w:line="420" w:lineRule="exact"/>
        <w:ind w:firstLine="486" w:firstLineChars="196"/>
        <w:textAlignment w:val="auto"/>
        <w:rPr>
          <w:rFonts w:hint="eastAsia" w:ascii="仿宋" w:hAnsi="仿宋" w:eastAsia="仿宋" w:cs="仿宋"/>
          <w:color w:val="auto"/>
          <w:sz w:val="18"/>
          <w:szCs w:val="18"/>
          <w:highlight w:val="none"/>
        </w:rPr>
      </w:pPr>
      <w:r>
        <w:rPr>
          <w:rFonts w:hint="eastAsia" w:ascii="仿宋" w:hAnsi="仿宋" w:eastAsia="仿宋" w:cs="仿宋"/>
          <w:color w:val="auto"/>
          <w:spacing w:val="4"/>
          <w:sz w:val="24"/>
        </w:rPr>
        <w:t>为构建诚信、公正、和谐的医用耗材购销秩序，维护医用耗材集中招标采购工作成果，根据《中华人民共和国</w:t>
      </w:r>
      <w:r>
        <w:rPr>
          <w:rFonts w:hint="eastAsia" w:ascii="仿宋" w:hAnsi="仿宋" w:eastAsia="仿宋" w:cs="仿宋"/>
          <w:color w:val="auto"/>
          <w:spacing w:val="4"/>
          <w:sz w:val="24"/>
          <w:lang w:eastAsia="zh-CN"/>
        </w:rPr>
        <w:t>民法典</w:t>
      </w:r>
      <w:r>
        <w:rPr>
          <w:rFonts w:hint="eastAsia" w:ascii="仿宋" w:hAnsi="仿宋" w:eastAsia="仿宋" w:cs="仿宋"/>
          <w:color w:val="auto"/>
          <w:spacing w:val="4"/>
          <w:sz w:val="24"/>
        </w:rPr>
        <w:t>》</w:t>
      </w:r>
      <w:r>
        <w:rPr>
          <w:rFonts w:hint="eastAsia" w:ascii="仿宋" w:hAnsi="仿宋" w:eastAsia="仿宋" w:cs="仿宋"/>
          <w:color w:val="auto"/>
          <w:spacing w:val="4"/>
          <w:sz w:val="24"/>
          <w:lang w:eastAsia="zh-CN"/>
        </w:rPr>
        <w:t>、</w:t>
      </w:r>
      <w:r>
        <w:rPr>
          <w:rFonts w:hint="eastAsia" w:ascii="仿宋" w:hAnsi="仿宋" w:eastAsia="仿宋" w:cs="仿宋"/>
          <w:color w:val="auto"/>
          <w:spacing w:val="4"/>
          <w:sz w:val="24"/>
        </w:rPr>
        <w:t>《医疗器械监督管理条例》</w:t>
      </w:r>
      <w:r>
        <w:rPr>
          <w:rFonts w:hint="eastAsia" w:ascii="仿宋" w:hAnsi="仿宋" w:eastAsia="仿宋" w:cs="仿宋"/>
          <w:color w:val="auto"/>
          <w:spacing w:val="4"/>
          <w:sz w:val="24"/>
          <w:lang w:eastAsia="zh-CN"/>
        </w:rPr>
        <w:t>及</w:t>
      </w:r>
      <w:r>
        <w:rPr>
          <w:rFonts w:hint="eastAsia" w:ascii="仿宋" w:hAnsi="仿宋" w:eastAsia="仿宋" w:cs="仿宋"/>
          <w:color w:val="auto"/>
          <w:spacing w:val="4"/>
          <w:sz w:val="24"/>
          <w:highlight w:val="none"/>
          <w:lang w:eastAsia="zh-CN"/>
        </w:rPr>
        <w:t>其他相关法律、法规之</w:t>
      </w:r>
      <w:r>
        <w:rPr>
          <w:rFonts w:hint="eastAsia" w:ascii="仿宋" w:hAnsi="仿宋" w:eastAsia="仿宋" w:cs="仿宋"/>
          <w:color w:val="auto"/>
          <w:spacing w:val="4"/>
          <w:sz w:val="24"/>
          <w:highlight w:val="none"/>
        </w:rPr>
        <w:t>规定</w:t>
      </w:r>
      <w:r>
        <w:rPr>
          <w:rFonts w:hint="eastAsia" w:ascii="仿宋" w:hAnsi="仿宋" w:eastAsia="仿宋" w:cs="仿宋"/>
          <w:color w:val="auto"/>
          <w:spacing w:val="4"/>
          <w:sz w:val="24"/>
          <w:highlight w:val="none"/>
          <w:lang w:eastAsia="zh-CN"/>
        </w:rPr>
        <w:t>，甲方和乙方</w:t>
      </w:r>
      <w:r>
        <w:rPr>
          <w:rFonts w:hint="eastAsia" w:ascii="仿宋" w:hAnsi="仿宋" w:eastAsia="仿宋" w:cs="仿宋"/>
          <w:color w:val="auto"/>
          <w:spacing w:val="4"/>
          <w:sz w:val="24"/>
          <w:szCs w:val="24"/>
          <w:highlight w:val="none"/>
        </w:rPr>
        <w:t>本着诚实</w:t>
      </w:r>
      <w:r>
        <w:rPr>
          <w:rFonts w:hint="eastAsia" w:ascii="仿宋" w:hAnsi="仿宋" w:eastAsia="仿宋" w:cs="仿宋"/>
          <w:color w:val="auto"/>
          <w:spacing w:val="4"/>
          <w:sz w:val="24"/>
          <w:szCs w:val="24"/>
          <w:highlight w:val="none"/>
          <w:lang w:eastAsia="zh-CN"/>
        </w:rPr>
        <w:t>守信</w:t>
      </w:r>
      <w:r>
        <w:rPr>
          <w:rFonts w:hint="eastAsia" w:ascii="仿宋" w:hAnsi="仿宋" w:eastAsia="仿宋" w:cs="仿宋"/>
          <w:color w:val="auto"/>
          <w:spacing w:val="4"/>
          <w:sz w:val="24"/>
          <w:highlight w:val="none"/>
        </w:rPr>
        <w:t>的原则，就甲方向乙方购</w:t>
      </w:r>
      <w:r>
        <w:rPr>
          <w:rFonts w:hint="eastAsia" w:ascii="仿宋" w:hAnsi="仿宋" w:eastAsia="仿宋" w:cs="仿宋"/>
          <w:color w:val="auto"/>
          <w:spacing w:val="4"/>
          <w:sz w:val="24"/>
          <w:highlight w:val="none"/>
          <w:lang w:eastAsia="zh-CN"/>
        </w:rPr>
        <w:t>买医用耗材</w:t>
      </w:r>
      <w:r>
        <w:rPr>
          <w:rFonts w:hint="eastAsia" w:ascii="仿宋" w:hAnsi="仿宋" w:eastAsia="仿宋" w:cs="仿宋"/>
          <w:color w:val="auto"/>
          <w:spacing w:val="4"/>
          <w:sz w:val="24"/>
          <w:highlight w:val="none"/>
        </w:rPr>
        <w:t>（详见</w:t>
      </w:r>
      <w:r>
        <w:rPr>
          <w:rFonts w:hint="eastAsia" w:ascii="仿宋" w:hAnsi="仿宋" w:eastAsia="仿宋" w:cs="仿宋"/>
          <w:color w:val="auto"/>
          <w:spacing w:val="4"/>
          <w:sz w:val="24"/>
          <w:highlight w:val="none"/>
          <w:lang w:val="en-US" w:eastAsia="zh-CN"/>
        </w:rPr>
        <w:t>附件</w:t>
      </w:r>
      <w:r>
        <w:rPr>
          <w:rFonts w:hint="eastAsia" w:ascii="仿宋" w:hAnsi="仿宋" w:eastAsia="仿宋" w:cs="仿宋"/>
          <w:color w:val="auto"/>
          <w:spacing w:val="4"/>
          <w:sz w:val="24"/>
          <w:highlight w:val="none"/>
        </w:rPr>
        <w:t>）的有关事宜制定并签署本协议，经双方协商签订如下：</w:t>
      </w:r>
    </w:p>
    <w:p w14:paraId="3B9A9708">
      <w:pPr>
        <w:keepNext w:val="0"/>
        <w:keepLines w:val="0"/>
        <w:pageBreakBefore w:val="0"/>
        <w:widowControl w:val="0"/>
        <w:numPr>
          <w:ilvl w:val="0"/>
          <w:numId w:val="8"/>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b/>
          <w:color w:val="auto"/>
          <w:spacing w:val="4"/>
          <w:sz w:val="28"/>
          <w:szCs w:val="28"/>
          <w:highlight w:val="none"/>
        </w:rPr>
        <w:t>耗材资质</w:t>
      </w:r>
      <w:r>
        <w:rPr>
          <w:rFonts w:hint="eastAsia" w:ascii="仿宋" w:hAnsi="仿宋" w:eastAsia="仿宋" w:cs="仿宋"/>
          <w:b/>
          <w:color w:val="auto"/>
          <w:spacing w:val="4"/>
          <w:sz w:val="28"/>
          <w:szCs w:val="28"/>
          <w:highlight w:val="none"/>
        </w:rPr>
        <w:br w:type="textWrapping"/>
      </w:r>
      <w:r>
        <w:rPr>
          <w:rFonts w:hint="eastAsia" w:ascii="仿宋" w:hAnsi="仿宋" w:eastAsia="仿宋" w:cs="仿宋"/>
          <w:b/>
          <w:color w:val="auto"/>
          <w:spacing w:val="4"/>
          <w:sz w:val="28"/>
          <w:szCs w:val="28"/>
          <w:highlight w:val="none"/>
        </w:rPr>
        <w:t xml:space="preserve">   </w:t>
      </w:r>
      <w:r>
        <w:rPr>
          <w:rFonts w:hint="eastAsia" w:ascii="仿宋" w:hAnsi="仿宋" w:eastAsia="仿宋" w:cs="仿宋"/>
          <w:color w:val="auto"/>
          <w:spacing w:val="4"/>
          <w:sz w:val="24"/>
          <w:szCs w:val="24"/>
          <w:highlight w:val="none"/>
        </w:rPr>
        <w:t>1、供货期内，乙方应根据相关法律法规和甲方要求提供企业营业执照、税务登记证、组织机构代码证、医疗器械经营许可证等资质，并提供所供产</w:t>
      </w:r>
      <w:r>
        <w:rPr>
          <w:rFonts w:hint="eastAsia" w:ascii="仿宋" w:hAnsi="仿宋" w:eastAsia="仿宋" w:cs="仿宋"/>
          <w:color w:val="auto"/>
          <w:spacing w:val="4"/>
          <w:sz w:val="24"/>
          <w:szCs w:val="24"/>
          <w:highlight w:val="none"/>
          <w:lang w:val="en-US" w:eastAsia="zh-CN"/>
        </w:rPr>
        <w:t xml:space="preserve">                                                                                                                    </w:t>
      </w:r>
    </w:p>
    <w:p w14:paraId="16E33097">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szCs w:val="24"/>
          <w:highlight w:val="none"/>
          <w:lang w:val="en-US" w:eastAsia="zh-CN"/>
        </w:rPr>
      </w:pPr>
      <w:r>
        <w:rPr>
          <w:rFonts w:hint="eastAsia" w:ascii="仿宋" w:hAnsi="仿宋" w:eastAsia="仿宋" w:cs="仿宋"/>
          <w:color w:val="auto"/>
          <w:spacing w:val="4"/>
          <w:sz w:val="24"/>
          <w:szCs w:val="24"/>
          <w:highlight w:val="none"/>
          <w:lang w:eastAsia="zh-CN"/>
        </w:rPr>
        <w:t>品的生产</w:t>
      </w:r>
      <w:r>
        <w:rPr>
          <w:rFonts w:hint="eastAsia" w:ascii="仿宋" w:hAnsi="仿宋" w:eastAsia="仿宋" w:cs="仿宋"/>
          <w:color w:val="auto"/>
          <w:spacing w:val="4"/>
          <w:sz w:val="24"/>
          <w:szCs w:val="24"/>
          <w:highlight w:val="none"/>
        </w:rPr>
        <w:t>企业</w:t>
      </w:r>
      <w:r>
        <w:rPr>
          <w:rFonts w:hint="eastAsia" w:ascii="仿宋" w:hAnsi="仿宋" w:eastAsia="仿宋" w:cs="仿宋"/>
          <w:color w:val="auto"/>
          <w:spacing w:val="4"/>
          <w:sz w:val="24"/>
          <w:szCs w:val="24"/>
          <w:highlight w:val="none"/>
          <w:lang w:eastAsia="zh-CN"/>
        </w:rPr>
        <w:t>的</w:t>
      </w:r>
      <w:r>
        <w:rPr>
          <w:rFonts w:hint="eastAsia" w:ascii="仿宋" w:hAnsi="仿宋" w:eastAsia="仿宋" w:cs="仿宋"/>
          <w:color w:val="auto"/>
          <w:spacing w:val="4"/>
          <w:sz w:val="24"/>
          <w:szCs w:val="24"/>
          <w:highlight w:val="none"/>
        </w:rPr>
        <w:t>营业执照、税务登记证、组织机构代码证、医疗器械</w:t>
      </w:r>
      <w:r>
        <w:rPr>
          <w:rFonts w:hint="eastAsia" w:ascii="仿宋" w:hAnsi="仿宋" w:eastAsia="仿宋" w:cs="仿宋"/>
          <w:color w:val="auto"/>
          <w:spacing w:val="4"/>
          <w:sz w:val="24"/>
          <w:szCs w:val="24"/>
          <w:highlight w:val="none"/>
          <w:lang w:eastAsia="zh-CN"/>
        </w:rPr>
        <w:t>生产</w:t>
      </w:r>
      <w:r>
        <w:rPr>
          <w:rFonts w:hint="eastAsia" w:ascii="仿宋" w:hAnsi="仿宋" w:eastAsia="仿宋" w:cs="仿宋"/>
          <w:color w:val="auto"/>
          <w:spacing w:val="4"/>
          <w:sz w:val="24"/>
          <w:szCs w:val="24"/>
          <w:highlight w:val="none"/>
        </w:rPr>
        <w:t>许可证</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4"/>
          <w:sz w:val="24"/>
          <w:szCs w:val="24"/>
          <w:highlight w:val="none"/>
        </w:rPr>
        <w:t>医疗器械注册证、医疗器械注册登记表、厂家授权等整套产品资质，并保证厂家授权在有效期内，严格按照产品注册证</w:t>
      </w:r>
      <w:r>
        <w:rPr>
          <w:rFonts w:hint="eastAsia" w:ascii="仿宋" w:hAnsi="仿宋" w:eastAsia="仿宋" w:cs="仿宋"/>
          <w:color w:val="auto"/>
          <w:spacing w:val="4"/>
          <w:sz w:val="24"/>
          <w:szCs w:val="24"/>
          <w:highlight w:val="none"/>
          <w:lang w:eastAsia="zh-CN"/>
        </w:rPr>
        <w:t>等所有资质</w:t>
      </w:r>
      <w:r>
        <w:rPr>
          <w:rFonts w:hint="eastAsia" w:ascii="仿宋" w:hAnsi="仿宋" w:eastAsia="仿宋" w:cs="仿宋"/>
          <w:color w:val="auto"/>
          <w:spacing w:val="4"/>
          <w:sz w:val="24"/>
          <w:szCs w:val="24"/>
          <w:highlight w:val="none"/>
        </w:rPr>
        <w:t>的有效期自觉进行循环更新</w:t>
      </w:r>
      <w:r>
        <w:rPr>
          <w:rFonts w:hint="eastAsia" w:ascii="仿宋" w:hAnsi="仿宋" w:eastAsia="仿宋" w:cs="仿宋"/>
          <w:color w:val="auto"/>
          <w:spacing w:val="4"/>
          <w:sz w:val="24"/>
          <w:szCs w:val="24"/>
          <w:highlight w:val="none"/>
          <w:lang w:eastAsia="zh-CN"/>
        </w:rPr>
        <w:t>，保证资质都在有效期内</w:t>
      </w:r>
      <w:r>
        <w:rPr>
          <w:rFonts w:hint="eastAsia" w:ascii="仿宋" w:hAnsi="仿宋" w:eastAsia="仿宋" w:cs="仿宋"/>
          <w:color w:val="auto"/>
          <w:spacing w:val="4"/>
          <w:sz w:val="24"/>
          <w:szCs w:val="24"/>
          <w:highlight w:val="none"/>
        </w:rPr>
        <w:t>。</w:t>
      </w:r>
      <w:r>
        <w:rPr>
          <w:rFonts w:hint="eastAsia" w:ascii="仿宋" w:hAnsi="仿宋" w:eastAsia="仿宋" w:cs="仿宋"/>
          <w:color w:val="auto"/>
          <w:spacing w:val="4"/>
          <w:sz w:val="24"/>
          <w:szCs w:val="24"/>
          <w:highlight w:val="none"/>
          <w:lang w:val="en-US" w:eastAsia="zh-CN"/>
        </w:rPr>
        <w:t>供货期内，乙方提供的厂家及产品资质授权内如有不合规定或过期未更新的，甲方有权单方面终止合同。</w:t>
      </w:r>
      <w:r>
        <w:rPr>
          <w:rFonts w:hint="eastAsia" w:ascii="仿宋" w:hAnsi="仿宋" w:eastAsia="仿宋" w:cs="仿宋"/>
          <w:color w:val="auto"/>
          <w:spacing w:val="4"/>
          <w:sz w:val="24"/>
          <w:szCs w:val="24"/>
          <w:highlight w:val="none"/>
        </w:rPr>
        <w:t>乙方应及时了解学习有关医疗耗材方面的最新规定并严格执行。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2、供货期内，乙方必须保证所供产品的注册证在有效期内，如注册证即将到期，乙方必须提前半年向甲方提供重新注册的受理证明，否则一经发现资质材料内有不合规定或过期未更新的，甲方有权单方面终止合同，注册证过期后所供产品不予办理付款手续，一切损失由乙方自行承担。</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3、供货期间，乙方不得擅自转让所供产品的授权，如有授权变更等问题，甲方有权终止合同。</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4</w:t>
      </w:r>
      <w:r>
        <w:rPr>
          <w:rFonts w:hint="eastAsia" w:ascii="仿宋" w:hAnsi="仿宋" w:eastAsia="仿宋" w:cs="仿宋"/>
          <w:color w:val="auto"/>
          <w:spacing w:val="4"/>
          <w:sz w:val="24"/>
          <w:szCs w:val="24"/>
          <w:highlight w:val="none"/>
        </w:rPr>
        <w:t>、乙方不得擅自更改公司名称、法人代表等；如遇特殊原因，乙方</w:t>
      </w:r>
      <w:r>
        <w:rPr>
          <w:rFonts w:hint="eastAsia" w:ascii="仿宋" w:hAnsi="仿宋" w:eastAsia="仿宋" w:cs="仿宋"/>
          <w:color w:val="auto"/>
          <w:spacing w:val="4"/>
          <w:sz w:val="24"/>
          <w:szCs w:val="24"/>
          <w:highlight w:val="none"/>
          <w:lang w:eastAsia="zh-CN"/>
        </w:rPr>
        <w:t>必须</w:t>
      </w:r>
      <w:r>
        <w:rPr>
          <w:rFonts w:hint="eastAsia" w:ascii="仿宋" w:hAnsi="仿宋" w:eastAsia="仿宋" w:cs="仿宋"/>
          <w:color w:val="auto"/>
          <w:spacing w:val="4"/>
          <w:sz w:val="24"/>
          <w:szCs w:val="24"/>
          <w:highlight w:val="none"/>
        </w:rPr>
        <w:t>通知甲方工作人员并按医院要求办理变更审批手续，自觉到甲方</w:t>
      </w:r>
      <w:r>
        <w:rPr>
          <w:rFonts w:hint="eastAsia" w:ascii="仿宋" w:hAnsi="仿宋" w:eastAsia="仿宋" w:cs="仿宋"/>
          <w:color w:val="auto"/>
          <w:spacing w:val="4"/>
          <w:sz w:val="24"/>
          <w:szCs w:val="24"/>
          <w:highlight w:val="none"/>
          <w:lang w:eastAsia="zh-CN"/>
        </w:rPr>
        <w:t>医学装备部</w:t>
      </w:r>
      <w:r>
        <w:rPr>
          <w:rFonts w:hint="eastAsia" w:ascii="仿宋" w:hAnsi="仿宋" w:eastAsia="仿宋" w:cs="仿宋"/>
          <w:color w:val="auto"/>
          <w:spacing w:val="4"/>
          <w:sz w:val="24"/>
          <w:szCs w:val="24"/>
          <w:highlight w:val="none"/>
        </w:rPr>
        <w:t>做好交接及后续工作。</w:t>
      </w:r>
      <w:r>
        <w:rPr>
          <w:rFonts w:hint="eastAsia" w:ascii="仿宋" w:hAnsi="仿宋" w:eastAsia="仿宋" w:cs="仿宋"/>
          <w:color w:val="auto"/>
          <w:spacing w:val="4"/>
          <w:sz w:val="24"/>
          <w:szCs w:val="24"/>
          <w:highlight w:val="none"/>
        </w:rPr>
        <w:br w:type="textWrapping"/>
      </w:r>
      <w:r>
        <w:rPr>
          <w:rFonts w:hint="eastAsia" w:ascii="仿宋" w:hAnsi="仿宋" w:eastAsia="仿宋" w:cs="仿宋"/>
          <w:color w:val="auto"/>
          <w:spacing w:val="4"/>
          <w:sz w:val="24"/>
          <w:szCs w:val="24"/>
          <w:highlight w:val="none"/>
        </w:rPr>
        <w:t xml:space="preserve">   </w:t>
      </w:r>
      <w:r>
        <w:rPr>
          <w:rFonts w:hint="eastAsia" w:ascii="仿宋" w:hAnsi="仿宋" w:eastAsia="仿宋" w:cs="仿宋"/>
          <w:color w:val="auto"/>
          <w:spacing w:val="4"/>
          <w:sz w:val="24"/>
          <w:szCs w:val="24"/>
          <w:highlight w:val="none"/>
          <w:lang w:val="en-US" w:eastAsia="zh-CN"/>
        </w:rPr>
        <w:t xml:space="preserve"> 5</w:t>
      </w:r>
      <w:r>
        <w:rPr>
          <w:rFonts w:hint="eastAsia" w:ascii="仿宋" w:hAnsi="仿宋" w:eastAsia="仿宋" w:cs="仿宋"/>
          <w:color w:val="auto"/>
          <w:spacing w:val="4"/>
          <w:sz w:val="24"/>
          <w:szCs w:val="24"/>
          <w:highlight w:val="none"/>
        </w:rPr>
        <w:t>、所供产品乙方不得私自停止供货，如遇特殊情况，乙方需提前3个月向甲方说明，</w:t>
      </w:r>
      <w:r>
        <w:rPr>
          <w:rFonts w:hint="eastAsia" w:ascii="仿宋" w:hAnsi="仿宋" w:eastAsia="仿宋" w:cs="仿宋"/>
          <w:color w:val="auto"/>
          <w:spacing w:val="4"/>
          <w:sz w:val="24"/>
          <w:szCs w:val="24"/>
          <w:highlight w:val="none"/>
          <w:lang w:eastAsia="zh-CN"/>
        </w:rPr>
        <w:t>否则甲方将有权拒绝支付该公司剩余货款。</w:t>
      </w:r>
    </w:p>
    <w:p w14:paraId="02764DE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二、供货标准</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1、乙方必须具有满足甲方耗材需求的供货能力</w:t>
      </w:r>
      <w:r>
        <w:rPr>
          <w:rFonts w:hint="eastAsia" w:ascii="仿宋" w:hAnsi="仿宋" w:eastAsia="仿宋" w:cs="仿宋"/>
          <w:color w:val="auto"/>
          <w:spacing w:val="4"/>
          <w:sz w:val="24"/>
          <w:highlight w:val="none"/>
          <w:lang w:eastAsia="zh-CN"/>
        </w:rPr>
        <w:t>，所有供货产品需在河南省公共资源交易中心挂网。</w:t>
      </w:r>
      <w:r>
        <w:rPr>
          <w:rFonts w:hint="eastAsia" w:ascii="仿宋" w:hAnsi="仿宋" w:eastAsia="仿宋" w:cs="仿宋"/>
          <w:color w:val="auto"/>
          <w:spacing w:val="4"/>
          <w:sz w:val="24"/>
          <w:highlight w:val="none"/>
        </w:rPr>
        <w:t>供货的品种、规格、产地、数量等，均以甲方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的采购计划或申请为准，供货的时间以双方最终确认的时间为准，耗材的配送不应超过</w:t>
      </w:r>
      <w:r>
        <w:rPr>
          <w:rFonts w:hint="eastAsia" w:ascii="仿宋" w:hAnsi="仿宋" w:eastAsia="仿宋" w:cs="仿宋"/>
          <w:color w:val="auto"/>
          <w:spacing w:val="4"/>
          <w:sz w:val="24"/>
          <w:highlight w:val="none"/>
          <w:lang w:val="en-US" w:eastAsia="zh-CN"/>
        </w:rPr>
        <w:t>48</w:t>
      </w:r>
      <w:r>
        <w:rPr>
          <w:rFonts w:hint="eastAsia" w:ascii="仿宋" w:hAnsi="仿宋" w:eastAsia="仿宋" w:cs="仿宋"/>
          <w:color w:val="auto"/>
          <w:spacing w:val="4"/>
          <w:sz w:val="24"/>
          <w:highlight w:val="none"/>
        </w:rPr>
        <w:t>小时（不可抗力除外）。急需耗材采购，乙方应积极配合，采取一切办法必须保证急需耗材按时供应。</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2、供货期内，乙方必须严格执行</w:t>
      </w:r>
      <w:r>
        <w:rPr>
          <w:rFonts w:hint="eastAsia" w:ascii="仿宋" w:hAnsi="仿宋" w:eastAsia="仿宋" w:cs="仿宋"/>
          <w:color w:val="auto"/>
          <w:sz w:val="24"/>
          <w:highlight w:val="none"/>
        </w:rPr>
        <w:t>各年度标内产品</w:t>
      </w:r>
      <w:r>
        <w:rPr>
          <w:rFonts w:hint="eastAsia" w:ascii="仿宋" w:hAnsi="仿宋" w:eastAsia="仿宋" w:cs="仿宋"/>
          <w:color w:val="auto"/>
          <w:highlight w:val="none"/>
        </w:rPr>
        <w:t>，不</w:t>
      </w:r>
      <w:r>
        <w:rPr>
          <w:rFonts w:hint="eastAsia" w:ascii="仿宋" w:hAnsi="仿宋" w:eastAsia="仿宋" w:cs="仿宋"/>
          <w:color w:val="auto"/>
          <w:spacing w:val="4"/>
          <w:sz w:val="24"/>
          <w:highlight w:val="none"/>
        </w:rPr>
        <w:t>允许标外供货，一经发现，甲方有权立即终止合同，并追究乙方相关责任。新进耗材产品必须经过甲方院内审批，未经审批的产品不予办理出入库及付款手续。</w:t>
      </w:r>
    </w:p>
    <w:p w14:paraId="79E3D92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3、</w:t>
      </w:r>
      <w:r>
        <w:rPr>
          <w:rFonts w:hint="eastAsia" w:ascii="仿宋" w:hAnsi="仿宋" w:eastAsia="仿宋" w:cs="仿宋"/>
          <w:color w:val="auto"/>
          <w:spacing w:val="4"/>
          <w:sz w:val="24"/>
          <w:highlight w:val="none"/>
        </w:rPr>
        <w:t>乙方应保证资质齐全</w:t>
      </w:r>
      <w:r>
        <w:rPr>
          <w:rFonts w:hint="eastAsia" w:ascii="仿宋" w:hAnsi="仿宋" w:eastAsia="仿宋" w:cs="仿宋"/>
          <w:color w:val="auto"/>
          <w:spacing w:val="4"/>
          <w:sz w:val="24"/>
          <w:highlight w:val="none"/>
          <w:lang w:eastAsia="zh-CN"/>
        </w:rPr>
        <w:t>的</w:t>
      </w:r>
      <w:r>
        <w:rPr>
          <w:rFonts w:hint="eastAsia" w:ascii="仿宋" w:hAnsi="仿宋" w:eastAsia="仿宋" w:cs="仿宋"/>
          <w:color w:val="auto"/>
          <w:spacing w:val="4"/>
          <w:sz w:val="24"/>
          <w:highlight w:val="none"/>
        </w:rPr>
        <w:t>货源</w:t>
      </w:r>
      <w:r>
        <w:rPr>
          <w:rFonts w:hint="eastAsia" w:ascii="仿宋" w:hAnsi="仿宋" w:eastAsia="仿宋" w:cs="仿宋"/>
          <w:color w:val="auto"/>
          <w:spacing w:val="4"/>
          <w:sz w:val="24"/>
          <w:highlight w:val="none"/>
          <w:lang w:eastAsia="zh-CN"/>
        </w:rPr>
        <w:t>为我院中标的产品，中标价</w:t>
      </w:r>
      <w:r>
        <w:rPr>
          <w:rFonts w:hint="eastAsia" w:ascii="仿宋" w:hAnsi="仿宋" w:eastAsia="仿宋" w:cs="仿宋"/>
          <w:color w:val="auto"/>
          <w:spacing w:val="4"/>
          <w:sz w:val="24"/>
          <w:highlight w:val="none"/>
        </w:rPr>
        <w:t>不高于</w:t>
      </w:r>
      <w:r>
        <w:rPr>
          <w:rFonts w:hint="eastAsia" w:ascii="仿宋" w:hAnsi="仿宋" w:eastAsia="仿宋" w:cs="仿宋"/>
          <w:color w:val="auto"/>
          <w:spacing w:val="4"/>
          <w:sz w:val="24"/>
          <w:highlight w:val="none"/>
          <w:lang w:eastAsia="zh-CN"/>
        </w:rPr>
        <w:t>省网采平台限价、</w:t>
      </w:r>
      <w:r>
        <w:rPr>
          <w:rFonts w:hint="eastAsia" w:ascii="仿宋" w:hAnsi="仿宋" w:eastAsia="仿宋" w:cs="仿宋"/>
          <w:color w:val="auto"/>
          <w:spacing w:val="4"/>
          <w:sz w:val="24"/>
          <w:highlight w:val="none"/>
          <w:lang w:val="en-US" w:eastAsia="zh-CN"/>
        </w:rPr>
        <w:t>郑州市中心医院现行价格</w:t>
      </w:r>
      <w:r>
        <w:rPr>
          <w:rFonts w:hint="eastAsia" w:ascii="仿宋" w:hAnsi="仿宋" w:eastAsia="仿宋" w:cs="仿宋"/>
          <w:color w:val="auto"/>
          <w:spacing w:val="4"/>
          <w:sz w:val="24"/>
          <w:highlight w:val="none"/>
        </w:rPr>
        <w:t>，如高于</w:t>
      </w:r>
      <w:r>
        <w:rPr>
          <w:rFonts w:hint="eastAsia" w:ascii="仿宋" w:hAnsi="仿宋" w:eastAsia="仿宋" w:cs="仿宋"/>
          <w:color w:val="auto"/>
          <w:spacing w:val="4"/>
          <w:sz w:val="24"/>
          <w:highlight w:val="none"/>
          <w:lang w:eastAsia="zh-CN"/>
        </w:rPr>
        <w:t>此</w:t>
      </w:r>
      <w:r>
        <w:rPr>
          <w:rFonts w:hint="eastAsia" w:ascii="仿宋" w:hAnsi="仿宋" w:eastAsia="仿宋" w:cs="仿宋"/>
          <w:color w:val="auto"/>
          <w:spacing w:val="4"/>
          <w:sz w:val="24"/>
          <w:highlight w:val="none"/>
        </w:rPr>
        <w:t>价格，</w:t>
      </w:r>
      <w:r>
        <w:rPr>
          <w:rFonts w:hint="eastAsia" w:ascii="仿宋" w:hAnsi="仿宋" w:eastAsia="仿宋" w:cs="仿宋"/>
          <w:color w:val="auto"/>
          <w:spacing w:val="4"/>
          <w:sz w:val="24"/>
          <w:highlight w:val="none"/>
          <w:lang w:eastAsia="zh-CN"/>
        </w:rPr>
        <w:t>乙方应向甲方支付自中标之日起所提供产品总价款的</w:t>
      </w:r>
      <w:r>
        <w:rPr>
          <w:rFonts w:hint="eastAsia" w:ascii="仿宋" w:hAnsi="仿宋" w:eastAsia="仿宋" w:cs="仿宋"/>
          <w:color w:val="auto"/>
          <w:spacing w:val="4"/>
          <w:sz w:val="24"/>
          <w:highlight w:val="none"/>
          <w:lang w:val="en-US" w:eastAsia="zh-CN"/>
        </w:rPr>
        <w:t>2倍以作赔偿，并终止合同。</w:t>
      </w:r>
    </w:p>
    <w:p w14:paraId="076554F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、乙方所供设备免费赠送的产品（耗材、试剂等）需经过</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验收，必须附带完整的产品资质，否则甲方有权拒绝办理验收事宜。</w:t>
      </w:r>
    </w:p>
    <w:p w14:paraId="4DF54516">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5、乙方提供所供产品（植入物）相配套使用的医疗器械，必须有医疗器械注册证（或第一类医疗器械产品备案凭证）、医疗器械的说明书（内容应包括清洗、消毒、包装、灭菌方法与参数）</w:t>
      </w:r>
      <w:r>
        <w:rPr>
          <w:rFonts w:hint="eastAsia" w:ascii="仿宋" w:hAnsi="仿宋" w:eastAsia="仿宋" w:cs="仿宋"/>
          <w:color w:val="auto"/>
          <w:sz w:val="21"/>
          <w:szCs w:val="21"/>
          <w:highlight w:val="none"/>
          <w:lang w:eastAsia="zh-CN"/>
        </w:rPr>
        <w:t>等，</w:t>
      </w:r>
      <w:r>
        <w:rPr>
          <w:rFonts w:hint="eastAsia" w:ascii="仿宋" w:hAnsi="仿宋" w:eastAsia="仿宋" w:cs="仿宋"/>
          <w:color w:val="auto"/>
          <w:spacing w:val="4"/>
          <w:sz w:val="24"/>
          <w:highlight w:val="none"/>
          <w:lang w:eastAsia="zh-CN"/>
        </w:rPr>
        <w:t>同时乙方</w:t>
      </w:r>
      <w:r>
        <w:rPr>
          <w:rFonts w:hint="eastAsia" w:ascii="仿宋" w:hAnsi="仿宋" w:eastAsia="仿宋" w:cs="仿宋"/>
          <w:color w:val="auto"/>
          <w:spacing w:val="4"/>
          <w:sz w:val="24"/>
          <w:highlight w:val="none"/>
          <w:lang w:val="en-US" w:eastAsia="zh-CN"/>
        </w:rPr>
        <w:t xml:space="preserve">应保障送货及时，择期手术最晚应于术前一日15时前将器械送达消毒供应中心，急诊手术应及时送达。 </w:t>
      </w:r>
    </w:p>
    <w:p w14:paraId="2AD5092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6</w:t>
      </w:r>
      <w:r>
        <w:rPr>
          <w:rFonts w:hint="eastAsia" w:ascii="仿宋" w:hAnsi="仿宋" w:eastAsia="仿宋" w:cs="仿宋"/>
          <w:color w:val="auto"/>
          <w:spacing w:val="4"/>
          <w:sz w:val="24"/>
          <w:highlight w:val="none"/>
        </w:rPr>
        <w:t>、由</w:t>
      </w:r>
      <w:r>
        <w:rPr>
          <w:rFonts w:hint="eastAsia" w:ascii="仿宋" w:hAnsi="仿宋" w:eastAsia="仿宋" w:cs="仿宋"/>
          <w:color w:val="auto"/>
          <w:spacing w:val="4"/>
          <w:sz w:val="24"/>
          <w:highlight w:val="none"/>
          <w:lang w:eastAsia="zh-CN"/>
        </w:rPr>
        <w:t>乙方提供的产品（包括免费提供的产品）</w:t>
      </w:r>
      <w:r>
        <w:rPr>
          <w:rFonts w:hint="eastAsia" w:ascii="仿宋" w:hAnsi="仿宋" w:eastAsia="仿宋" w:cs="仿宋"/>
          <w:color w:val="auto"/>
          <w:spacing w:val="4"/>
          <w:sz w:val="24"/>
          <w:highlight w:val="none"/>
        </w:rPr>
        <w:t xml:space="preserve">造成的不良事件、医疗纠纷等，均由乙方承担赔偿、善后处理责任。 </w:t>
      </w:r>
    </w:p>
    <w:p w14:paraId="6CED812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7</w:t>
      </w:r>
      <w:r>
        <w:rPr>
          <w:rFonts w:hint="eastAsia" w:ascii="仿宋" w:hAnsi="仿宋" w:eastAsia="仿宋" w:cs="仿宋"/>
          <w:color w:val="auto"/>
          <w:spacing w:val="4"/>
          <w:sz w:val="24"/>
          <w:highlight w:val="none"/>
        </w:rPr>
        <w:t>、供货期内，乙方工作人员必须按照甲方规定的工作流程进行，不得私自与临床科室协商进行购销活动，否则，甲方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 xml:space="preserve">有权拒绝办理出入库手续、付款手续，一切损失由乙方自行承担。  </w:t>
      </w:r>
    </w:p>
    <w:p w14:paraId="7DCB49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b/>
          <w:color w:val="auto"/>
          <w:spacing w:val="4"/>
          <w:sz w:val="28"/>
          <w:szCs w:val="28"/>
          <w:highlight w:val="none"/>
        </w:rPr>
        <w:t>三、耗材的配送</w:t>
      </w:r>
      <w:r>
        <w:rPr>
          <w:rFonts w:hint="eastAsia" w:ascii="仿宋" w:hAnsi="仿宋" w:eastAsia="仿宋" w:cs="仿宋"/>
          <w:b/>
          <w:color w:val="auto"/>
          <w:spacing w:val="4"/>
          <w:sz w:val="28"/>
          <w:szCs w:val="28"/>
          <w:highlight w:val="none"/>
          <w:lang w:eastAsia="zh-CN"/>
        </w:rPr>
        <w:t>及服务</w:t>
      </w:r>
      <w:r>
        <w:rPr>
          <w:rFonts w:hint="eastAsia" w:ascii="仿宋" w:hAnsi="仿宋" w:eastAsia="仿宋" w:cs="仿宋"/>
          <w:b/>
          <w:color w:val="auto"/>
          <w:spacing w:val="4"/>
          <w:sz w:val="28"/>
          <w:szCs w:val="28"/>
          <w:highlight w:val="none"/>
        </w:rPr>
        <w:br w:type="textWrapping"/>
      </w:r>
      <w:r>
        <w:rPr>
          <w:rFonts w:hint="eastAsia" w:ascii="仿宋" w:hAnsi="仿宋" w:eastAsia="仿宋" w:cs="仿宋"/>
          <w:color w:val="auto"/>
          <w:spacing w:val="4"/>
          <w:sz w:val="24"/>
          <w:highlight w:val="none"/>
        </w:rPr>
        <w:t xml:space="preserve">    1、订货：甲方可通过签定合同或口头或电话通知等方式向乙方进行购货申请。甲方临时性采购时，应给乙方合理的备货、送货时间。</w:t>
      </w:r>
      <w:r>
        <w:rPr>
          <w:rFonts w:hint="eastAsia" w:ascii="仿宋" w:hAnsi="仿宋" w:eastAsia="仿宋" w:cs="仿宋"/>
          <w:color w:val="auto"/>
          <w:spacing w:val="4"/>
          <w:sz w:val="24"/>
          <w:highlight w:val="none"/>
        </w:rPr>
        <w:br w:type="textWrapping"/>
      </w:r>
      <w:r>
        <w:rPr>
          <w:rFonts w:hint="eastAsia" w:ascii="仿宋" w:hAnsi="仿宋" w:eastAsia="仿宋" w:cs="仿宋"/>
          <w:color w:val="auto"/>
          <w:spacing w:val="4"/>
          <w:sz w:val="24"/>
          <w:highlight w:val="none"/>
        </w:rPr>
        <w:t xml:space="preserve">    </w:t>
      </w: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、乙方所供产品在甲方接收前所产生的运送费用及风险由乙方承担。甲方办理验收手续后的所有产品的保管费用由甲方承担。</w:t>
      </w:r>
    </w:p>
    <w:p w14:paraId="048C52D5">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3</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方负责对甲方所需的货品进行配送。甲方发送的一般订单，</w:t>
      </w:r>
      <w:r>
        <w:rPr>
          <w:rFonts w:hint="eastAsia" w:ascii="仿宋" w:hAnsi="仿宋" w:eastAsia="仿宋" w:cs="仿宋"/>
          <w:color w:val="auto"/>
          <w:spacing w:val="4"/>
          <w:sz w:val="24"/>
          <w:highlight w:val="none"/>
          <w:lang w:eastAsia="zh-CN"/>
        </w:rPr>
        <w:t>乙</w:t>
      </w:r>
      <w:r>
        <w:rPr>
          <w:rFonts w:hint="default" w:ascii="仿宋" w:hAnsi="仿宋" w:eastAsia="仿宋" w:cs="仿宋"/>
          <w:color w:val="auto"/>
          <w:spacing w:val="4"/>
          <w:sz w:val="24"/>
          <w:highlight w:val="none"/>
          <w:lang w:eastAsia="zh-CN"/>
        </w:rPr>
        <w:t>方应在发送当日回复，并在订单发送时间起</w:t>
      </w:r>
      <w:r>
        <w:rPr>
          <w:rFonts w:hint="eastAsia" w:ascii="仿宋" w:hAnsi="仿宋" w:eastAsia="仿宋" w:cs="仿宋"/>
          <w:color w:val="auto"/>
          <w:spacing w:val="4"/>
          <w:sz w:val="24"/>
          <w:highlight w:val="none"/>
          <w:lang w:val="en-US" w:eastAsia="zh-CN"/>
        </w:rPr>
        <w:t>48</w:t>
      </w:r>
      <w:r>
        <w:rPr>
          <w:rFonts w:hint="default" w:ascii="仿宋" w:hAnsi="仿宋" w:eastAsia="仿宋" w:cs="仿宋"/>
          <w:color w:val="auto"/>
          <w:spacing w:val="4"/>
          <w:sz w:val="24"/>
          <w:highlight w:val="none"/>
          <w:lang w:eastAsia="zh-CN"/>
        </w:rPr>
        <w:t>小时内完成配送；紧急订单，应在订单发送时间起4小时内回复并完成配送；特急订单，应在订单发送时间起 2 小时内回复并完成配送。</w:t>
      </w:r>
      <w:r>
        <w:rPr>
          <w:rFonts w:hint="eastAsia" w:ascii="仿宋" w:hAnsi="仿宋" w:eastAsia="仿宋" w:cs="仿宋"/>
          <w:color w:val="auto"/>
          <w:spacing w:val="4"/>
          <w:sz w:val="24"/>
          <w:highlight w:val="yellow"/>
          <w:lang w:eastAsia="zh-CN"/>
        </w:rPr>
        <w:t>乙</w:t>
      </w:r>
      <w:r>
        <w:rPr>
          <w:rFonts w:hint="default" w:ascii="仿宋" w:hAnsi="仿宋" w:eastAsia="仿宋" w:cs="仿宋"/>
          <w:color w:val="auto"/>
          <w:spacing w:val="4"/>
          <w:sz w:val="24"/>
          <w:highlight w:val="yellow"/>
          <w:lang w:eastAsia="zh-CN"/>
        </w:rPr>
        <w:t>方配送交货地点由甲方指定</w:t>
      </w:r>
      <w:r>
        <w:rPr>
          <w:rFonts w:hint="default" w:ascii="仿宋" w:hAnsi="仿宋" w:eastAsia="仿宋" w:cs="仿宋"/>
          <w:color w:val="auto"/>
          <w:spacing w:val="4"/>
          <w:sz w:val="24"/>
          <w:highlight w:val="none"/>
          <w:lang w:eastAsia="zh-CN"/>
        </w:rPr>
        <w:t>。</w:t>
      </w:r>
    </w:p>
    <w:p w14:paraId="6C48560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textAlignment w:val="auto"/>
        <w:outlineLvl w:val="9"/>
        <w:rPr>
          <w:rFonts w:hint="eastAsia" w:ascii="仿宋" w:hAnsi="仿宋" w:eastAsia="仿宋" w:cs="仿宋"/>
          <w:color w:val="auto"/>
          <w:spacing w:val="4"/>
          <w:sz w:val="24"/>
          <w:highlight w:val="none"/>
          <w:lang w:eastAsia="zh-CN"/>
        </w:rPr>
      </w:pPr>
      <w:r>
        <w:rPr>
          <w:rFonts w:hint="eastAsia" w:ascii="仿宋" w:hAnsi="仿宋" w:eastAsia="仿宋" w:cs="仿宋"/>
          <w:color w:val="auto"/>
          <w:spacing w:val="4"/>
          <w:sz w:val="24"/>
          <w:highlight w:val="none"/>
          <w:lang w:val="en-US" w:eastAsia="zh-CN"/>
        </w:rPr>
        <w:t>4</w:t>
      </w:r>
      <w:r>
        <w:rPr>
          <w:rFonts w:hint="eastAsia" w:ascii="仿宋" w:hAnsi="仿宋" w:eastAsia="仿宋" w:cs="仿宋"/>
          <w:color w:val="auto"/>
          <w:spacing w:val="4"/>
          <w:sz w:val="24"/>
          <w:highlight w:val="none"/>
        </w:rPr>
        <w:t>、</w:t>
      </w:r>
      <w:r>
        <w:rPr>
          <w:rFonts w:hint="eastAsia" w:ascii="仿宋" w:hAnsi="仿宋" w:eastAsia="仿宋" w:cs="仿宋"/>
          <w:color w:val="auto"/>
          <w:spacing w:val="4"/>
          <w:sz w:val="24"/>
          <w:highlight w:val="none"/>
          <w:lang w:eastAsia="zh-CN"/>
        </w:rPr>
        <w:t>乙方保证所供产品质量符合国家各级药品监督管理部门规定的标准，产品包装、标识、标签、说明书等应符合国家相关规定及货物运输要求。乙方保证严格按照法定的运输管理要求及耗材储存、包装标准等将产品按时送至甲方，并保证就运输过程中发生的货品灭失及因包装或运输不善等原因导致货品损坏或变质等承担全部责任，并对因此给甲方造成的损失承担赔偿责任。</w:t>
      </w:r>
    </w:p>
    <w:p w14:paraId="2349BB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、乙方所供的每批产品，不可跨月开具发票，否则甲方将视为无效发票处理。高值耗材采取先办理</w:t>
      </w:r>
      <w:r>
        <w:rPr>
          <w:rFonts w:hint="eastAsia" w:ascii="仿宋" w:hAnsi="仿宋" w:eastAsia="仿宋" w:cs="仿宋"/>
          <w:color w:val="auto"/>
          <w:spacing w:val="4"/>
          <w:sz w:val="24"/>
          <w:highlight w:val="none"/>
          <w:lang w:eastAsia="zh-CN"/>
        </w:rPr>
        <w:t>验收</w:t>
      </w:r>
      <w:r>
        <w:rPr>
          <w:rFonts w:hint="eastAsia" w:ascii="仿宋" w:hAnsi="仿宋" w:eastAsia="仿宋" w:cs="仿宋"/>
          <w:color w:val="auto"/>
          <w:spacing w:val="4"/>
          <w:sz w:val="24"/>
          <w:highlight w:val="none"/>
        </w:rPr>
        <w:t>手续，经临床使用、收费确认后方可办理开票、出库手续。</w:t>
      </w:r>
    </w:p>
    <w:p w14:paraId="74D2F40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default"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6、乙方应按甲方需要在甲方指定地点为所供耗材的临床应用进行现场讲解或培训。</w:t>
      </w:r>
    </w:p>
    <w:p w14:paraId="76E4D51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四、验收方式</w:t>
      </w:r>
      <w:r>
        <w:rPr>
          <w:rFonts w:hint="eastAsia" w:ascii="仿宋" w:hAnsi="仿宋" w:eastAsia="仿宋" w:cs="仿宋"/>
          <w:b/>
          <w:color w:val="auto"/>
          <w:spacing w:val="4"/>
          <w:sz w:val="28"/>
          <w:szCs w:val="28"/>
          <w:highlight w:val="none"/>
          <w:lang w:eastAsia="zh-CN"/>
        </w:rPr>
        <w:t>及手续</w:t>
      </w:r>
    </w:p>
    <w:p w14:paraId="2075EA8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 xml:space="preserve">    1、</w:t>
      </w:r>
      <w:r>
        <w:rPr>
          <w:rFonts w:hint="eastAsia" w:ascii="仿宋" w:hAnsi="仿宋" w:eastAsia="仿宋" w:cs="仿宋"/>
          <w:color w:val="auto"/>
          <w:spacing w:val="4"/>
          <w:sz w:val="24"/>
          <w:highlight w:val="none"/>
          <w:lang w:eastAsia="zh-CN"/>
        </w:rPr>
        <w:t>交货时甲方有权要求乙方提供相关法律法规规定的证件、材料、票据等书面文件。</w:t>
      </w:r>
      <w:r>
        <w:rPr>
          <w:rFonts w:hint="eastAsia" w:ascii="仿宋" w:hAnsi="仿宋" w:eastAsia="仿宋" w:cs="仿宋"/>
          <w:color w:val="auto"/>
          <w:spacing w:val="4"/>
          <w:sz w:val="24"/>
          <w:highlight w:val="none"/>
        </w:rPr>
        <w:t>甲乙双方共同开箱验收，并核对耗材名称、规格、产地、数量等是否与甲方需求相符，批号是否票货一致，耗材的外包装是否污染、挤压</w:t>
      </w:r>
      <w:r>
        <w:rPr>
          <w:rFonts w:hint="eastAsia" w:ascii="仿宋" w:hAnsi="仿宋" w:eastAsia="仿宋" w:cs="仿宋"/>
          <w:color w:val="auto"/>
          <w:spacing w:val="4"/>
          <w:sz w:val="24"/>
          <w:highlight w:val="none"/>
          <w:lang w:eastAsia="zh-CN"/>
        </w:rPr>
        <w:t>、破损</w:t>
      </w:r>
      <w:r>
        <w:rPr>
          <w:rFonts w:hint="eastAsia" w:ascii="仿宋" w:hAnsi="仿宋" w:eastAsia="仿宋" w:cs="仿宋"/>
          <w:color w:val="auto"/>
          <w:spacing w:val="4"/>
          <w:sz w:val="24"/>
          <w:highlight w:val="none"/>
        </w:rPr>
        <w:t>，产品注册证是否过期等。高值耗材需甲乙双方人员单个检查、核对。</w:t>
      </w:r>
    </w:p>
    <w:p w14:paraId="22FBA2D0">
      <w:pPr>
        <w:keepNext w:val="0"/>
        <w:keepLines w:val="0"/>
        <w:pageBreakBefore w:val="0"/>
        <w:widowControl w:val="0"/>
        <w:kinsoku/>
        <w:wordWrap/>
        <w:overflowPunct/>
        <w:topLinePunct w:val="0"/>
        <w:autoSpaceDE/>
        <w:autoSpaceDN/>
        <w:bidi w:val="0"/>
        <w:adjustRightInd/>
        <w:snapToGrid/>
        <w:spacing w:line="420" w:lineRule="exact"/>
        <w:ind w:left="42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2、甲方接货后，乙方工作人员出具的销售出库清单和发票必须经临床科</w:t>
      </w:r>
    </w:p>
    <w:p w14:paraId="05DB05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室主任或护士长以及</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人员共同签字确认，方可凭票据办理出入库手续，如缺任一签字，甲方</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人员有权拒绝办理出入库和款项支付。</w:t>
      </w:r>
    </w:p>
    <w:p w14:paraId="1B4AF7BB">
      <w:pPr>
        <w:keepNext w:val="0"/>
        <w:keepLines w:val="0"/>
        <w:pageBreakBefore w:val="0"/>
        <w:widowControl w:val="0"/>
        <w:numPr>
          <w:ilvl w:val="0"/>
          <w:numId w:val="9"/>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乙方保证所供产品为正规合格产品，耗材验收中若发现有不合格产品、或与订单不符、或违反相关规定的，甲方有权拒收。</w:t>
      </w:r>
      <w:r>
        <w:rPr>
          <w:rFonts w:hint="eastAsia" w:ascii="仿宋" w:hAnsi="仿宋" w:eastAsia="仿宋" w:cs="仿宋"/>
          <w:color w:val="auto"/>
          <w:spacing w:val="4"/>
          <w:sz w:val="24"/>
          <w:highlight w:val="none"/>
          <w:lang w:eastAsia="zh-CN"/>
        </w:rPr>
        <w:t>乙方应按照甲方要求及时更换被拒收产品，并承担由此对甲方造成的一切损失。</w:t>
      </w:r>
    </w:p>
    <w:p w14:paraId="54B25EC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4、验货时双方人员均须在场，对存在的问题及时反馈和解决。完成验货后，除不可抗力、耗材本身质量因素、乙方自身供货原因外，甲方应在合同规定时限内支付相应的款项。</w:t>
      </w:r>
    </w:p>
    <w:p w14:paraId="4366C86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5、</w:t>
      </w:r>
      <w:r>
        <w:rPr>
          <w:rFonts w:hint="eastAsia" w:ascii="仿宋" w:hAnsi="仿宋" w:eastAsia="仿宋" w:cs="仿宋"/>
          <w:color w:val="auto"/>
          <w:spacing w:val="4"/>
          <w:sz w:val="24"/>
          <w:highlight w:val="none"/>
        </w:rPr>
        <w:t>乙方需在供货当月内办理出入库手续，如不能当月办理手续的，应写出情况说明，并由临床科室主任签字确认后交由</w:t>
      </w:r>
      <w:r>
        <w:rPr>
          <w:rFonts w:hint="eastAsia" w:ascii="仿宋" w:hAnsi="仿宋" w:eastAsia="仿宋" w:cs="仿宋"/>
          <w:color w:val="auto"/>
          <w:spacing w:val="4"/>
          <w:sz w:val="24"/>
          <w:highlight w:val="none"/>
          <w:lang w:eastAsia="zh-CN"/>
        </w:rPr>
        <w:t>医学装备部</w:t>
      </w:r>
      <w:r>
        <w:rPr>
          <w:rFonts w:hint="eastAsia" w:ascii="仿宋" w:hAnsi="仿宋" w:eastAsia="仿宋" w:cs="仿宋"/>
          <w:color w:val="auto"/>
          <w:spacing w:val="4"/>
          <w:sz w:val="24"/>
          <w:highlight w:val="none"/>
        </w:rPr>
        <w:t>审批。未按时办理出入库手续且未写出情况说明的，甲方不予办理出入库手续，由此造成的损失及责任由乙方自行承担。连续三个月未能及时办理出入库手续的，甲方有权终止合同。</w:t>
      </w:r>
    </w:p>
    <w:p w14:paraId="64752198">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五、货款支付</w:t>
      </w:r>
    </w:p>
    <w:p w14:paraId="67DFE7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1、付款方式：</w:t>
      </w:r>
      <w:r>
        <w:rPr>
          <w:rFonts w:hint="eastAsia" w:ascii="仿宋" w:hAnsi="仿宋" w:eastAsia="仿宋" w:cs="仿宋"/>
          <w:color w:val="auto"/>
          <w:spacing w:val="4"/>
          <w:sz w:val="24"/>
          <w:highlight w:val="none"/>
          <w:lang w:eastAsia="zh-CN"/>
        </w:rPr>
        <w:t>按医院财务制度支付</w:t>
      </w:r>
      <w:r>
        <w:rPr>
          <w:rFonts w:hint="eastAsia" w:ascii="仿宋" w:hAnsi="仿宋" w:eastAsia="仿宋" w:cs="仿宋"/>
          <w:color w:val="auto"/>
          <w:spacing w:val="4"/>
          <w:sz w:val="24"/>
          <w:highlight w:val="none"/>
        </w:rPr>
        <w:t>。甲方须通过转账完成付款义务，双方在合同中注明的账号为双方结算账户，若有变更应及时书面通知另一方。</w:t>
      </w:r>
    </w:p>
    <w:p w14:paraId="250D9C1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outlineLvl w:val="9"/>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2、票据开具：乙方所供产品的发票需按照甲方发票模板开具，否则甲方有权拒绝办理出入库、付款等事宜。</w:t>
      </w:r>
    </w:p>
    <w:p w14:paraId="4714C09D">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3、付款期限：款项支付按甲方财务付款制度、流程进行。</w:t>
      </w:r>
    </w:p>
    <w:p w14:paraId="7DAF5DB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4、</w:t>
      </w:r>
      <w:r>
        <w:rPr>
          <w:rFonts w:hint="eastAsia" w:ascii="仿宋" w:hAnsi="仿宋" w:eastAsia="仿宋" w:cs="仿宋"/>
          <w:color w:val="auto"/>
          <w:spacing w:val="4"/>
          <w:sz w:val="24"/>
          <w:highlight w:val="yellow"/>
        </w:rPr>
        <w:t>如每年乙方供货不及时超过三次（不可抗力除外），</w:t>
      </w:r>
      <w:r>
        <w:rPr>
          <w:rFonts w:hint="eastAsia" w:ascii="Arial" w:hAnsi="Arial" w:cs="Arial"/>
          <w:color w:val="auto"/>
          <w:sz w:val="24"/>
          <w:szCs w:val="24"/>
          <w:highlight w:val="yellow"/>
          <w:lang w:eastAsia="zh-CN"/>
        </w:rPr>
        <w:t>甲方有权解除本合同，乙方应</w:t>
      </w:r>
      <w:r>
        <w:rPr>
          <w:rFonts w:hint="eastAsia" w:ascii="Arial" w:hAnsi="Arial" w:cs="Arial"/>
          <w:color w:val="auto"/>
          <w:spacing w:val="0"/>
          <w:sz w:val="24"/>
          <w:highlight w:val="yellow"/>
          <w:lang w:eastAsia="zh-CN"/>
        </w:rPr>
        <w:t>承担</w:t>
      </w:r>
      <w:r>
        <w:rPr>
          <w:rFonts w:hint="eastAsia" w:ascii="Arial" w:hAnsi="Arial" w:eastAsia="宋体" w:cs="Arial"/>
          <w:color w:val="auto"/>
          <w:spacing w:val="0"/>
          <w:sz w:val="24"/>
          <w:highlight w:val="yellow"/>
        </w:rPr>
        <w:t>年供货量总额的</w:t>
      </w:r>
      <w:r>
        <w:rPr>
          <w:rFonts w:hint="eastAsia" w:ascii="Arial" w:hAnsi="Arial" w:cs="Arial"/>
          <w:color w:val="auto"/>
          <w:sz w:val="24"/>
          <w:szCs w:val="24"/>
          <w:highlight w:val="yellow"/>
          <w:lang w:eastAsia="zh-CN"/>
        </w:rPr>
        <w:t>百分之二十的违约金</w:t>
      </w:r>
      <w:r>
        <w:rPr>
          <w:rFonts w:hint="eastAsia" w:ascii="Arial" w:hAnsi="Arial" w:cs="Arial"/>
          <w:color w:val="auto"/>
          <w:sz w:val="24"/>
          <w:szCs w:val="24"/>
          <w:highlight w:val="none"/>
          <w:lang w:eastAsia="zh-CN"/>
        </w:rPr>
        <w:t>。</w:t>
      </w:r>
    </w:p>
    <w:p w14:paraId="20A7088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lang w:val="en-US" w:eastAsia="zh-CN"/>
        </w:rPr>
        <w:t xml:space="preserve">    </w:t>
      </w:r>
      <w:r>
        <w:rPr>
          <w:rFonts w:hint="eastAsia" w:ascii="仿宋" w:hAnsi="仿宋" w:eastAsia="仿宋" w:cs="仿宋"/>
          <w:color w:val="auto"/>
          <w:spacing w:val="4"/>
          <w:sz w:val="24"/>
          <w:highlight w:val="none"/>
        </w:rPr>
        <w:t>5、双方在收货验票无异议后，均不得更改付款或入账时价格或金额，对因</w:t>
      </w:r>
      <w:r>
        <w:rPr>
          <w:rFonts w:hint="eastAsia" w:ascii="仿宋" w:hAnsi="仿宋" w:eastAsia="仿宋" w:cs="仿宋"/>
          <w:color w:val="auto"/>
          <w:spacing w:val="4"/>
          <w:sz w:val="24"/>
          <w:highlight w:val="none"/>
          <w:lang w:eastAsia="zh-CN"/>
        </w:rPr>
        <w:t>国家、省医用耗材集中采购</w:t>
      </w:r>
      <w:r>
        <w:rPr>
          <w:rFonts w:hint="eastAsia" w:ascii="仿宋" w:hAnsi="仿宋" w:eastAsia="仿宋" w:cs="仿宋"/>
          <w:color w:val="auto"/>
          <w:spacing w:val="4"/>
          <w:sz w:val="24"/>
          <w:highlight w:val="none"/>
        </w:rPr>
        <w:t>价格调整，乙方需在公布执行后</w:t>
      </w:r>
      <w:r>
        <w:rPr>
          <w:rFonts w:hint="eastAsia" w:ascii="仿宋" w:hAnsi="仿宋" w:eastAsia="仿宋" w:cs="仿宋"/>
          <w:color w:val="auto"/>
          <w:spacing w:val="4"/>
          <w:sz w:val="24"/>
          <w:highlight w:val="none"/>
          <w:lang w:val="en-US" w:eastAsia="zh-CN"/>
        </w:rPr>
        <w:t>20</w:t>
      </w:r>
      <w:r>
        <w:rPr>
          <w:rFonts w:hint="eastAsia" w:ascii="仿宋" w:hAnsi="仿宋" w:eastAsia="仿宋" w:cs="仿宋"/>
          <w:color w:val="auto"/>
          <w:spacing w:val="4"/>
          <w:sz w:val="24"/>
          <w:highlight w:val="none"/>
        </w:rPr>
        <w:t>天内将所需调整的具体品种、数量、价格通知甲方，逾期未通知甲方而造成的损失由乙方</w:t>
      </w:r>
      <w:r>
        <w:rPr>
          <w:rFonts w:hint="eastAsia" w:ascii="仿宋" w:hAnsi="仿宋" w:eastAsia="仿宋" w:cs="仿宋"/>
          <w:color w:val="auto"/>
          <w:spacing w:val="4"/>
          <w:sz w:val="24"/>
          <w:highlight w:val="none"/>
          <w:lang w:eastAsia="zh-CN"/>
        </w:rPr>
        <w:t>承担</w:t>
      </w:r>
      <w:r>
        <w:rPr>
          <w:rFonts w:hint="eastAsia" w:ascii="仿宋" w:hAnsi="仿宋" w:eastAsia="仿宋" w:cs="仿宋"/>
          <w:color w:val="auto"/>
          <w:spacing w:val="4"/>
          <w:sz w:val="24"/>
          <w:highlight w:val="none"/>
        </w:rPr>
        <w:t xml:space="preserve">。 </w:t>
      </w:r>
    </w:p>
    <w:p w14:paraId="42A5404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六、退货处理</w:t>
      </w:r>
    </w:p>
    <w:p w14:paraId="1E8153A4">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1、甲方使用期间，如存在质量问题、注册证过期、厂家授权过期、导致不良事件的产品，乙方应无条件给予退换货处理，并承担由此产生的所有经济、人事责任。</w:t>
      </w:r>
    </w:p>
    <w:p w14:paraId="036381E1">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w:t>
      </w:r>
      <w:r>
        <w:rPr>
          <w:rFonts w:hint="default" w:ascii="仿宋" w:hAnsi="仿宋" w:eastAsia="仿宋" w:cs="仿宋"/>
          <w:color w:val="auto"/>
          <w:spacing w:val="4"/>
          <w:sz w:val="24"/>
          <w:highlight w:val="none"/>
        </w:rPr>
        <w:t>甲方收到耗材的时间距离耗材的有效期截止日原则上不得少于6个月。</w:t>
      </w:r>
      <w:r>
        <w:rPr>
          <w:rFonts w:hint="eastAsia" w:ascii="仿宋" w:hAnsi="仿宋" w:eastAsia="仿宋" w:cs="仿宋"/>
          <w:color w:val="auto"/>
          <w:spacing w:val="4"/>
          <w:sz w:val="24"/>
          <w:highlight w:val="none"/>
        </w:rPr>
        <w:t>一经发现有效期不足</w:t>
      </w:r>
      <w:r>
        <w:rPr>
          <w:rFonts w:hint="default" w:ascii="仿宋" w:hAnsi="仿宋" w:eastAsia="仿宋" w:cs="仿宋"/>
          <w:color w:val="auto"/>
          <w:spacing w:val="4"/>
          <w:sz w:val="24"/>
          <w:highlight w:val="none"/>
        </w:rPr>
        <w:t>6个月</w:t>
      </w:r>
      <w:r>
        <w:rPr>
          <w:rFonts w:hint="eastAsia" w:ascii="仿宋" w:hAnsi="仿宋" w:eastAsia="仿宋" w:cs="仿宋"/>
          <w:color w:val="auto"/>
          <w:spacing w:val="4"/>
          <w:sz w:val="24"/>
          <w:highlight w:val="none"/>
        </w:rPr>
        <w:t>的，甲方有权要求退货处理，由此造成事故责任和经济损失，由乙方全部承担。如出现过期产品，乙方应无条件退换货。</w:t>
      </w:r>
    </w:p>
    <w:p w14:paraId="16E6149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3、货物售出</w:t>
      </w:r>
      <w:r>
        <w:rPr>
          <w:rFonts w:hint="eastAsia" w:ascii="仿宋" w:hAnsi="仿宋" w:eastAsia="仿宋" w:cs="仿宋"/>
          <w:color w:val="auto"/>
          <w:spacing w:val="4"/>
          <w:sz w:val="24"/>
          <w:highlight w:val="none"/>
          <w:lang w:eastAsia="zh-CN"/>
        </w:rPr>
        <w:t>后</w:t>
      </w:r>
      <w:r>
        <w:rPr>
          <w:rFonts w:hint="eastAsia" w:ascii="仿宋" w:hAnsi="仿宋" w:eastAsia="仿宋" w:cs="仿宋"/>
          <w:color w:val="auto"/>
          <w:spacing w:val="4"/>
          <w:sz w:val="24"/>
          <w:highlight w:val="none"/>
        </w:rPr>
        <w:t>，对未使用完要求退货的货物，甲方应先征得乙方同意，且所退货物必须外包装良好、未破损丢失、不得影响乙方正常销售。</w:t>
      </w:r>
    </w:p>
    <w:p w14:paraId="53D52EF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七、违约责任</w:t>
      </w:r>
    </w:p>
    <w:p w14:paraId="72804093">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1、合同自签订之日起立即生效，双方必需严格执行，若任何一方有正当理由要求变更供货规格、数量及交货日期的应首先取得双方书面同意，并承担由此给对方造成的直接损失。</w:t>
      </w:r>
    </w:p>
    <w:p w14:paraId="543CBD51">
      <w:pPr>
        <w:keepNext w:val="0"/>
        <w:keepLines w:val="0"/>
        <w:pageBreakBefore w:val="0"/>
        <w:widowControl w:val="0"/>
        <w:kinsoku/>
        <w:wordWrap/>
        <w:overflowPunct/>
        <w:topLinePunct w:val="0"/>
        <w:autoSpaceDE/>
        <w:autoSpaceDN/>
        <w:bidi w:val="0"/>
        <w:adjustRightInd/>
        <w:snapToGrid/>
        <w:spacing w:line="420" w:lineRule="exact"/>
        <w:ind w:firstLine="620" w:firstLineChars="25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2、合同一经生效，乙方未经甲方书面同意违反合同的相关约定或擅自解除合同的，需向甲方支付年供货量总额的</w:t>
      </w:r>
      <w:r>
        <w:rPr>
          <w:rFonts w:hint="eastAsia" w:ascii="仿宋" w:hAnsi="仿宋" w:eastAsia="仿宋" w:cs="仿宋"/>
          <w:color w:val="auto"/>
          <w:spacing w:val="4"/>
          <w:sz w:val="24"/>
          <w:highlight w:val="none"/>
          <w:lang w:eastAsia="zh-CN"/>
        </w:rPr>
        <w:t>百分之二十</w:t>
      </w:r>
      <w:r>
        <w:rPr>
          <w:rFonts w:hint="eastAsia" w:ascii="仿宋" w:hAnsi="仿宋" w:eastAsia="仿宋" w:cs="仿宋"/>
          <w:color w:val="auto"/>
          <w:spacing w:val="4"/>
          <w:sz w:val="24"/>
          <w:highlight w:val="none"/>
        </w:rPr>
        <w:t>作为违约金。</w:t>
      </w:r>
    </w:p>
    <w:p w14:paraId="3DEEDE6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八、不可抗力</w:t>
      </w:r>
    </w:p>
    <w:p w14:paraId="73609FBA">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甲乙双方如由于不可抗力的原因不能履行合同，应及时向对方通报不能履行或者不能完全履行的理由，在取得有关证明后，延迟履行、部分履行或者不履行合同，并根据情况可部分或全部免除责任。</w:t>
      </w:r>
    </w:p>
    <w:p w14:paraId="0CAE3A5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九、解决合同纠纷方式</w:t>
      </w:r>
    </w:p>
    <w:p w14:paraId="2057FA87">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本合同若有争议，双方协商解决，</w:t>
      </w:r>
      <w:r>
        <w:rPr>
          <w:rFonts w:hint="eastAsia" w:ascii="仿宋" w:hAnsi="仿宋" w:eastAsia="仿宋" w:cs="仿宋"/>
          <w:color w:val="auto"/>
          <w:spacing w:val="4"/>
          <w:sz w:val="24"/>
          <w:highlight w:val="none"/>
          <w:lang w:eastAsia="zh-CN"/>
        </w:rPr>
        <w:t>协商不成的依法向</w:t>
      </w:r>
      <w:r>
        <w:rPr>
          <w:rFonts w:hint="eastAsia" w:ascii="仿宋" w:hAnsi="仿宋" w:eastAsia="仿宋" w:cs="仿宋"/>
          <w:color w:val="auto"/>
          <w:spacing w:val="4"/>
          <w:sz w:val="24"/>
          <w:highlight w:val="none"/>
        </w:rPr>
        <w:t>甲方所在地</w:t>
      </w:r>
      <w:r>
        <w:rPr>
          <w:rFonts w:hint="eastAsia" w:ascii="仿宋" w:hAnsi="仿宋" w:eastAsia="仿宋" w:cs="仿宋"/>
          <w:color w:val="auto"/>
          <w:spacing w:val="4"/>
          <w:sz w:val="24"/>
          <w:highlight w:val="none"/>
          <w:lang w:eastAsia="zh-CN"/>
        </w:rPr>
        <w:t>人民法院起诉</w:t>
      </w:r>
      <w:r>
        <w:rPr>
          <w:rFonts w:hint="eastAsia" w:ascii="仿宋" w:hAnsi="仿宋" w:eastAsia="仿宋" w:cs="仿宋"/>
          <w:color w:val="auto"/>
          <w:spacing w:val="4"/>
          <w:sz w:val="24"/>
          <w:highlight w:val="none"/>
        </w:rPr>
        <w:t>。</w:t>
      </w:r>
    </w:p>
    <w:p w14:paraId="6C814F96">
      <w:pPr>
        <w:pStyle w:val="16"/>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outlineLvl w:val="9"/>
        <w:rPr>
          <w:rFonts w:hint="eastAsia" w:ascii="仿宋" w:hAnsi="仿宋" w:eastAsia="仿宋" w:cs="仿宋"/>
          <w:b/>
          <w:color w:val="auto"/>
          <w:spacing w:val="4"/>
          <w:kern w:val="2"/>
          <w:sz w:val="28"/>
          <w:szCs w:val="28"/>
          <w:highlight w:val="none"/>
          <w:lang w:val="en-US" w:eastAsia="zh-CN" w:bidi="ar-SA"/>
        </w:rPr>
      </w:pPr>
      <w:r>
        <w:rPr>
          <w:rFonts w:hint="eastAsia" w:ascii="仿宋" w:hAnsi="仿宋" w:eastAsia="仿宋" w:cs="仿宋"/>
          <w:b/>
          <w:color w:val="auto"/>
          <w:spacing w:val="4"/>
          <w:kern w:val="2"/>
          <w:sz w:val="28"/>
          <w:szCs w:val="28"/>
          <w:highlight w:val="none"/>
          <w:lang w:val="en-US" w:eastAsia="zh-CN" w:bidi="ar-SA"/>
        </w:rPr>
        <w:t>十、协议的修改和补充</w:t>
      </w:r>
    </w:p>
    <w:p w14:paraId="2571682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1、合同期内，本合同若与国家相关文件及相关法律要求相违背，则按照国家相关文件要求办理，需变更相应条款的，双方将协商变更或终止本合同。</w:t>
      </w:r>
    </w:p>
    <w:p w14:paraId="36122EA6">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lang w:val="en-US" w:eastAsia="zh-CN"/>
        </w:rPr>
      </w:pPr>
      <w:r>
        <w:rPr>
          <w:rFonts w:hint="eastAsia" w:ascii="仿宋" w:hAnsi="仿宋" w:eastAsia="仿宋" w:cs="仿宋"/>
          <w:color w:val="auto"/>
          <w:spacing w:val="4"/>
          <w:sz w:val="24"/>
          <w:highlight w:val="none"/>
          <w:lang w:val="en-US" w:eastAsia="zh-CN"/>
        </w:rPr>
        <w:t>2、医院按照相关政策执行医用耗材集中配送等业务，乙方需按照医院要求执行，若乙方不同意集中配送的，甲方有权终止本合同。</w:t>
      </w:r>
    </w:p>
    <w:p w14:paraId="793D5FD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color w:val="auto"/>
          <w:spacing w:val="4"/>
          <w:sz w:val="28"/>
          <w:szCs w:val="28"/>
          <w:highlight w:val="none"/>
        </w:rPr>
      </w:pPr>
      <w:r>
        <w:rPr>
          <w:rFonts w:hint="eastAsia" w:ascii="仿宋" w:hAnsi="仿宋" w:eastAsia="仿宋" w:cs="仿宋"/>
          <w:b/>
          <w:color w:val="auto"/>
          <w:spacing w:val="4"/>
          <w:sz w:val="28"/>
          <w:szCs w:val="28"/>
          <w:highlight w:val="none"/>
        </w:rPr>
        <w:t>十</w:t>
      </w:r>
      <w:r>
        <w:rPr>
          <w:rFonts w:hint="eastAsia" w:ascii="仿宋" w:hAnsi="仿宋" w:eastAsia="仿宋" w:cs="仿宋"/>
          <w:b/>
          <w:color w:val="auto"/>
          <w:spacing w:val="4"/>
          <w:sz w:val="28"/>
          <w:szCs w:val="28"/>
          <w:highlight w:val="none"/>
          <w:lang w:eastAsia="zh-CN"/>
        </w:rPr>
        <w:t>一</w:t>
      </w:r>
      <w:r>
        <w:rPr>
          <w:rFonts w:hint="eastAsia" w:ascii="仿宋" w:hAnsi="仿宋" w:eastAsia="仿宋" w:cs="仿宋"/>
          <w:b/>
          <w:color w:val="auto"/>
          <w:spacing w:val="4"/>
          <w:sz w:val="28"/>
          <w:szCs w:val="28"/>
          <w:highlight w:val="none"/>
        </w:rPr>
        <w:t>、其他</w:t>
      </w:r>
    </w:p>
    <w:p w14:paraId="13404B92">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color w:val="auto"/>
          <w:spacing w:val="4"/>
          <w:sz w:val="24"/>
          <w:highlight w:val="none"/>
        </w:rPr>
      </w:pPr>
      <w:r>
        <w:rPr>
          <w:rFonts w:hint="eastAsia" w:ascii="仿宋" w:hAnsi="仿宋" w:eastAsia="仿宋" w:cs="仿宋"/>
          <w:color w:val="auto"/>
          <w:spacing w:val="4"/>
          <w:sz w:val="24"/>
          <w:highlight w:val="none"/>
        </w:rPr>
        <w:t>1、本合同未尽事宜，可由甲乙双方商定，并签署书面补充协议。</w:t>
      </w:r>
      <w:r>
        <w:rPr>
          <w:rFonts w:hint="eastAsia" w:ascii="仿宋" w:hAnsi="仿宋" w:eastAsia="仿宋" w:cs="仿宋"/>
          <w:spacing w:val="4"/>
          <w:sz w:val="24"/>
          <w:lang w:val="en-US" w:eastAsia="zh-CN"/>
        </w:rPr>
        <w:t>合同期满后，经甲乙双方协商一致，可续签合同。</w:t>
      </w:r>
    </w:p>
    <w:p w14:paraId="558A905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rPr>
          <w:rFonts w:hint="eastAsia" w:ascii="仿宋" w:hAnsi="仿宋" w:eastAsia="仿宋" w:cs="仿宋"/>
          <w:spacing w:val="4"/>
          <w:sz w:val="24"/>
        </w:rPr>
      </w:pPr>
      <w:r>
        <w:rPr>
          <w:rFonts w:hint="eastAsia" w:ascii="仿宋" w:hAnsi="仿宋" w:eastAsia="仿宋" w:cs="仿宋"/>
          <w:color w:val="auto"/>
          <w:spacing w:val="4"/>
          <w:sz w:val="24"/>
          <w:highlight w:val="none"/>
          <w:lang w:val="en-US" w:eastAsia="zh-CN"/>
        </w:rPr>
        <w:t>2、</w:t>
      </w:r>
      <w:r>
        <w:rPr>
          <w:rFonts w:hint="eastAsia" w:ascii="仿宋" w:hAnsi="仿宋" w:eastAsia="仿宋" w:cs="仿宋"/>
          <w:color w:val="auto"/>
          <w:spacing w:val="4"/>
          <w:sz w:val="24"/>
          <w:highlight w:val="none"/>
        </w:rPr>
        <w:t>本合同自双方委托代理人签字和单位盖章之日起生效。一式</w:t>
      </w:r>
      <w:r>
        <w:rPr>
          <w:rFonts w:hint="eastAsia" w:ascii="仿宋" w:hAnsi="仿宋" w:eastAsia="仿宋" w:cs="仿宋"/>
          <w:color w:val="auto"/>
          <w:spacing w:val="4"/>
          <w:sz w:val="24"/>
          <w:highlight w:val="none"/>
          <w:lang w:eastAsia="zh-CN"/>
        </w:rPr>
        <w:t>五</w:t>
      </w:r>
      <w:r>
        <w:rPr>
          <w:rFonts w:hint="eastAsia" w:ascii="仿宋" w:hAnsi="仿宋" w:eastAsia="仿宋" w:cs="仿宋"/>
          <w:color w:val="auto"/>
          <w:spacing w:val="4"/>
          <w:sz w:val="24"/>
          <w:highlight w:val="none"/>
        </w:rPr>
        <w:t>份，甲</w:t>
      </w:r>
      <w:r>
        <w:rPr>
          <w:rFonts w:hint="eastAsia" w:ascii="仿宋" w:hAnsi="仿宋" w:eastAsia="仿宋" w:cs="仿宋"/>
          <w:spacing w:val="4"/>
          <w:sz w:val="24"/>
        </w:rPr>
        <w:t>方执</w:t>
      </w:r>
      <w:r>
        <w:rPr>
          <w:rFonts w:hint="eastAsia" w:ascii="仿宋" w:hAnsi="仿宋" w:eastAsia="仿宋" w:cs="仿宋"/>
          <w:spacing w:val="4"/>
          <w:sz w:val="24"/>
          <w:lang w:eastAsia="zh-CN"/>
        </w:rPr>
        <w:t>四</w:t>
      </w:r>
      <w:r>
        <w:rPr>
          <w:rFonts w:hint="eastAsia" w:ascii="仿宋" w:hAnsi="仿宋" w:eastAsia="仿宋" w:cs="仿宋"/>
          <w:spacing w:val="4"/>
          <w:sz w:val="24"/>
        </w:rPr>
        <w:t>份</w:t>
      </w:r>
      <w:r>
        <w:rPr>
          <w:rFonts w:hint="eastAsia" w:ascii="仿宋" w:hAnsi="仿宋" w:eastAsia="仿宋" w:cs="仿宋"/>
          <w:spacing w:val="4"/>
          <w:sz w:val="24"/>
          <w:lang w:eastAsia="zh-CN"/>
        </w:rPr>
        <w:t>，具有同等法律效力。</w:t>
      </w:r>
    </w:p>
    <w:p w14:paraId="09A08744">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spacing w:val="4"/>
          <w:sz w:val="24"/>
          <w:lang w:val="en-US" w:eastAsia="zh-CN"/>
        </w:rPr>
      </w:pPr>
      <w:r>
        <w:rPr>
          <w:rFonts w:hint="eastAsia" w:ascii="仿宋" w:hAnsi="仿宋" w:eastAsia="仿宋" w:cs="仿宋"/>
          <w:spacing w:val="4"/>
          <w:sz w:val="24"/>
          <w:lang w:val="en-US" w:eastAsia="zh-CN"/>
        </w:rPr>
        <w:t>3</w:t>
      </w:r>
      <w:r>
        <w:rPr>
          <w:rFonts w:hint="eastAsia" w:ascii="仿宋" w:hAnsi="仿宋" w:eastAsia="仿宋" w:cs="仿宋"/>
          <w:spacing w:val="4"/>
          <w:sz w:val="24"/>
        </w:rPr>
        <w:t>、乙方委托代理人为乙方指定的业务人员，甲方的收货人为甲方的相关工作人员，任何一方的人事变动不影响本协议</w:t>
      </w:r>
      <w:r>
        <w:rPr>
          <w:rFonts w:hint="eastAsia" w:ascii="仿宋" w:hAnsi="仿宋" w:eastAsia="仿宋" w:cs="仿宋"/>
          <w:spacing w:val="4"/>
          <w:sz w:val="24"/>
          <w:lang w:eastAsia="zh-CN"/>
        </w:rPr>
        <w:t>的法律效应。</w:t>
      </w:r>
      <w:r>
        <w:rPr>
          <w:rFonts w:hint="eastAsia" w:ascii="仿宋" w:hAnsi="仿宋" w:eastAsia="仿宋" w:cs="仿宋"/>
          <w:spacing w:val="4"/>
          <w:sz w:val="24"/>
          <w:lang w:val="en-US" w:eastAsia="zh-CN"/>
        </w:rPr>
        <w:t xml:space="preserve"> </w:t>
      </w:r>
    </w:p>
    <w:p w14:paraId="2AD5B09A">
      <w:pPr>
        <w:keepNext w:val="0"/>
        <w:keepLines w:val="0"/>
        <w:pageBreakBefore w:val="0"/>
        <w:widowControl w:val="0"/>
        <w:kinsoku/>
        <w:wordWrap/>
        <w:overflowPunct/>
        <w:topLinePunct w:val="0"/>
        <w:autoSpaceDE/>
        <w:autoSpaceDN/>
        <w:bidi w:val="0"/>
        <w:adjustRightInd/>
        <w:snapToGrid/>
        <w:spacing w:line="420" w:lineRule="exact"/>
        <w:ind w:left="0" w:leftChars="0" w:firstLine="496" w:firstLineChars="200"/>
        <w:jc w:val="left"/>
        <w:textAlignment w:val="auto"/>
        <w:outlineLvl w:val="9"/>
        <w:rPr>
          <w:rFonts w:hint="eastAsia" w:ascii="仿宋" w:hAnsi="仿宋" w:eastAsia="仿宋" w:cs="仿宋"/>
          <w:color w:val="auto"/>
          <w:spacing w:val="4"/>
          <w:sz w:val="24"/>
          <w:lang w:eastAsia="zh-CN"/>
        </w:rPr>
      </w:pPr>
      <w:r>
        <w:rPr>
          <w:rFonts w:hint="eastAsia" w:ascii="仿宋" w:hAnsi="仿宋" w:eastAsia="仿宋" w:cs="仿宋"/>
          <w:spacing w:val="4"/>
          <w:sz w:val="24"/>
          <w:lang w:val="en-US" w:eastAsia="zh-CN"/>
        </w:rPr>
        <w:t>4、</w:t>
      </w:r>
      <w:r>
        <w:rPr>
          <w:rFonts w:hint="eastAsia" w:ascii="仿宋" w:hAnsi="仿宋" w:eastAsia="仿宋" w:cs="仿宋"/>
          <w:color w:val="auto"/>
          <w:spacing w:val="4"/>
          <w:sz w:val="24"/>
        </w:rPr>
        <w:t>本合同自</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日起</w:t>
      </w:r>
      <w:r>
        <w:rPr>
          <w:rFonts w:hint="eastAsia" w:ascii="仿宋" w:hAnsi="仿宋" w:eastAsia="仿宋" w:cs="仿宋"/>
          <w:color w:val="auto"/>
          <w:spacing w:val="4"/>
          <w:sz w:val="24"/>
          <w:lang w:eastAsia="zh-CN"/>
        </w:rPr>
        <w:t>生效</w:t>
      </w:r>
      <w:r>
        <w:rPr>
          <w:rFonts w:hint="eastAsia" w:ascii="仿宋" w:hAnsi="仿宋" w:eastAsia="仿宋" w:cs="仿宋"/>
          <w:color w:val="auto"/>
          <w:spacing w:val="4"/>
          <w:sz w:val="24"/>
        </w:rPr>
        <w:t>至</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年</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月</w:t>
      </w:r>
      <w:r>
        <w:rPr>
          <w:rFonts w:hint="eastAsia" w:ascii="仿宋" w:hAnsi="仿宋" w:eastAsia="仿宋" w:cs="仿宋"/>
          <w:color w:val="auto"/>
          <w:spacing w:val="4"/>
          <w:sz w:val="24"/>
          <w:lang w:val="en-US" w:eastAsia="zh-CN"/>
        </w:rPr>
        <w:t xml:space="preserve">  </w:t>
      </w:r>
      <w:r>
        <w:rPr>
          <w:rFonts w:hint="eastAsia" w:ascii="仿宋" w:hAnsi="仿宋" w:eastAsia="仿宋" w:cs="仿宋"/>
          <w:color w:val="auto"/>
          <w:spacing w:val="4"/>
          <w:sz w:val="24"/>
        </w:rPr>
        <w:t>日</w:t>
      </w:r>
      <w:r>
        <w:rPr>
          <w:rFonts w:hint="eastAsia" w:ascii="仿宋" w:hAnsi="仿宋" w:eastAsia="仿宋" w:cs="仿宋"/>
          <w:color w:val="auto"/>
          <w:spacing w:val="4"/>
          <w:sz w:val="24"/>
          <w:lang w:eastAsia="zh-CN"/>
        </w:rPr>
        <w:t>终</w:t>
      </w:r>
      <w:r>
        <w:rPr>
          <w:rFonts w:hint="eastAsia" w:ascii="仿宋" w:hAnsi="仿宋" w:eastAsia="仿宋" w:cs="仿宋"/>
          <w:color w:val="auto"/>
          <w:spacing w:val="4"/>
          <w:sz w:val="24"/>
        </w:rPr>
        <w:t>止</w:t>
      </w:r>
      <w:r>
        <w:rPr>
          <w:rFonts w:hint="eastAsia" w:ascii="仿宋" w:hAnsi="仿宋" w:eastAsia="仿宋" w:cs="仿宋"/>
          <w:color w:val="auto"/>
          <w:spacing w:val="4"/>
          <w:sz w:val="24"/>
          <w:lang w:eastAsia="zh-CN"/>
        </w:rPr>
        <w:t>。</w:t>
      </w:r>
    </w:p>
    <w:p w14:paraId="36E5854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spacing w:val="4"/>
          <w:sz w:val="28"/>
          <w:szCs w:val="28"/>
          <w:lang w:eastAsia="zh-CN"/>
        </w:rPr>
      </w:pPr>
      <w:r>
        <w:rPr>
          <w:rFonts w:hint="eastAsia" w:ascii="仿宋" w:hAnsi="仿宋" w:eastAsia="仿宋" w:cs="仿宋"/>
          <w:b/>
          <w:spacing w:val="4"/>
          <w:sz w:val="28"/>
          <w:szCs w:val="28"/>
          <w:lang w:eastAsia="zh-CN"/>
        </w:rPr>
        <w:t>十二、附则</w:t>
      </w:r>
    </w:p>
    <w:p w14:paraId="72A5A7BE">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本合同未尽事宜，双方应本着友好协商的精神，根据本合同书确定的原则，从实际需要出发达成协议，所作的补充协议书具有与本合同书同等的法律效力。</w:t>
      </w:r>
    </w:p>
    <w:p w14:paraId="2F69A0BC">
      <w:pPr>
        <w:keepNext w:val="0"/>
        <w:keepLines w:val="0"/>
        <w:pageBreakBefore w:val="0"/>
        <w:widowControl w:val="0"/>
        <w:kinsoku/>
        <w:wordWrap/>
        <w:overflowPunct/>
        <w:topLinePunct w:val="0"/>
        <w:autoSpaceDE/>
        <w:autoSpaceDN/>
        <w:bidi w:val="0"/>
        <w:adjustRightInd/>
        <w:snapToGrid/>
        <w:spacing w:line="420" w:lineRule="exact"/>
        <w:ind w:firstLine="496" w:firstLineChars="200"/>
        <w:textAlignment w:val="auto"/>
        <w:rPr>
          <w:rFonts w:hint="eastAsia" w:ascii="仿宋" w:hAnsi="仿宋" w:eastAsia="仿宋" w:cs="仿宋"/>
          <w:spacing w:val="4"/>
          <w:sz w:val="24"/>
          <w:lang w:eastAsia="zh-CN"/>
        </w:rPr>
      </w:pPr>
      <w:r>
        <w:rPr>
          <w:rFonts w:hint="eastAsia" w:ascii="仿宋" w:hAnsi="仿宋" w:eastAsia="仿宋" w:cs="仿宋"/>
          <w:spacing w:val="4"/>
          <w:sz w:val="24"/>
          <w:lang w:eastAsia="zh-CN"/>
        </w:rPr>
        <w:t>合同附件及形成本项目的招标文件、投标文件、《成交通知书》均为本合同不可分割的组成部分，与本合同具有同等的法律效力。</w:t>
      </w:r>
      <w:r>
        <w:rPr>
          <w:rFonts w:hint="eastAsia" w:ascii="仿宋" w:hAnsi="仿宋" w:eastAsia="仿宋" w:cs="仿宋"/>
          <w:spacing w:val="4"/>
          <w:sz w:val="24"/>
          <w:lang w:val="en-US" w:eastAsia="zh-CN"/>
        </w:rPr>
        <w:t xml:space="preserve">   </w:t>
      </w:r>
      <w:r>
        <w:rPr>
          <w:rFonts w:hint="eastAsia" w:ascii="仿宋" w:hAnsi="仿宋" w:eastAsia="仿宋" w:cs="仿宋"/>
          <w:b/>
          <w:spacing w:val="4"/>
          <w:sz w:val="28"/>
          <w:szCs w:val="28"/>
          <w:lang w:val="en-US" w:eastAsia="zh-CN"/>
        </w:rPr>
        <w:t xml:space="preserve">                                                             </w:t>
      </w:r>
    </w:p>
    <w:p w14:paraId="4C35038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7830CC8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lang w:eastAsia="zh-CN"/>
        </w:rPr>
      </w:pPr>
    </w:p>
    <w:p w14:paraId="1EE0FD7E">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仿宋" w:hAnsi="仿宋" w:eastAsia="仿宋" w:cs="仿宋"/>
          <w:spacing w:val="4"/>
          <w:sz w:val="24"/>
        </w:rPr>
      </w:pPr>
    </w:p>
    <w:p w14:paraId="5E6320E6">
      <w:pPr>
        <w:spacing w:line="360" w:lineRule="auto"/>
        <w:rPr>
          <w:rFonts w:hint="eastAsia" w:ascii="仿宋" w:hAnsi="仿宋" w:eastAsia="仿宋" w:cs="仿宋"/>
          <w:spacing w:val="4"/>
          <w:sz w:val="24"/>
        </w:rPr>
      </w:pPr>
      <w:r>
        <w:rPr>
          <w:rFonts w:hint="eastAsia" w:ascii="仿宋" w:hAnsi="仿宋" w:eastAsia="仿宋" w:cs="仿宋"/>
          <w:spacing w:val="4"/>
          <w:sz w:val="24"/>
        </w:rPr>
        <w:t>需方（甲方）：                         供货商（乙方）：</w:t>
      </w:r>
    </w:p>
    <w:p w14:paraId="7CFA482A">
      <w:pPr>
        <w:spacing w:line="360" w:lineRule="auto"/>
        <w:rPr>
          <w:rFonts w:hint="eastAsia" w:ascii="仿宋" w:hAnsi="仿宋" w:eastAsia="仿宋" w:cs="仿宋"/>
          <w:spacing w:val="4"/>
          <w:sz w:val="24"/>
        </w:rPr>
      </w:pPr>
      <w:r>
        <w:rPr>
          <w:rFonts w:hint="eastAsia" w:ascii="仿宋" w:hAnsi="仿宋" w:eastAsia="仿宋" w:cs="仿宋"/>
          <w:spacing w:val="4"/>
          <w:sz w:val="24"/>
        </w:rPr>
        <w:t>(盖章)：                               (盖章)：</w:t>
      </w:r>
    </w:p>
    <w:p w14:paraId="6239786B">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                                        </w:t>
      </w:r>
    </w:p>
    <w:p w14:paraId="08FFEA72">
      <w:pPr>
        <w:spacing w:line="360" w:lineRule="auto"/>
        <w:rPr>
          <w:rFonts w:hint="eastAsia" w:ascii="仿宋" w:hAnsi="仿宋" w:eastAsia="仿宋" w:cs="仿宋"/>
          <w:spacing w:val="4"/>
          <w:sz w:val="24"/>
        </w:rPr>
      </w:pPr>
      <w:r>
        <w:rPr>
          <w:rFonts w:hint="eastAsia" w:ascii="仿宋" w:hAnsi="仿宋" w:eastAsia="仿宋" w:cs="仿宋"/>
          <w:spacing w:val="4"/>
          <w:sz w:val="24"/>
        </w:rPr>
        <w:t>代理人（签字）：                       代理人（签字）：</w:t>
      </w:r>
    </w:p>
    <w:p w14:paraId="23DF8004">
      <w:pPr>
        <w:spacing w:line="360" w:lineRule="auto"/>
        <w:rPr>
          <w:rFonts w:hint="eastAsia" w:ascii="仿宋" w:hAnsi="仿宋" w:eastAsia="仿宋" w:cs="仿宋"/>
          <w:spacing w:val="4"/>
          <w:sz w:val="24"/>
        </w:rPr>
      </w:pPr>
      <w:r>
        <w:rPr>
          <w:rFonts w:hint="eastAsia" w:ascii="仿宋" w:hAnsi="仿宋" w:eastAsia="仿宋" w:cs="仿宋"/>
          <w:spacing w:val="4"/>
          <w:sz w:val="24"/>
        </w:rPr>
        <w:t xml:space="preserve">年    月    日                            年    月    日  </w:t>
      </w:r>
    </w:p>
    <w:p w14:paraId="73D75D82">
      <w:pPr>
        <w:pStyle w:val="16"/>
        <w:rPr>
          <w:rFonts w:hint="eastAsia" w:ascii="仿宋" w:hAnsi="仿宋" w:eastAsia="仿宋" w:cs="仿宋"/>
          <w:spacing w:val="4"/>
          <w:sz w:val="24"/>
        </w:rPr>
      </w:pPr>
    </w:p>
    <w:p w14:paraId="7DCD0F5D">
      <w:pPr>
        <w:pStyle w:val="16"/>
        <w:rPr>
          <w:rFonts w:hint="eastAsia" w:ascii="仿宋" w:hAnsi="仿宋" w:eastAsia="仿宋" w:cs="仿宋"/>
          <w:spacing w:val="4"/>
          <w:sz w:val="24"/>
        </w:rPr>
      </w:pPr>
    </w:p>
    <w:p w14:paraId="3A0ED052">
      <w:pPr>
        <w:pStyle w:val="16"/>
        <w:rPr>
          <w:rFonts w:hint="eastAsia" w:ascii="仿宋" w:hAnsi="仿宋" w:eastAsia="仿宋" w:cs="仿宋"/>
          <w:spacing w:val="4"/>
          <w:sz w:val="24"/>
        </w:rPr>
      </w:pPr>
    </w:p>
    <w:p w14:paraId="3ADB9C31">
      <w:pPr>
        <w:rPr>
          <w:rFonts w:hint="eastAsia" w:ascii="黑体" w:hAnsi="黑体" w:eastAsia="黑体" w:cs="黑体"/>
          <w:sz w:val="32"/>
          <w:szCs w:val="32"/>
        </w:rPr>
      </w:pPr>
      <w:r>
        <w:rPr>
          <w:rFonts w:hint="eastAsia" w:ascii="黑体" w:hAnsi="黑体" w:eastAsia="黑体" w:cs="黑体"/>
          <w:sz w:val="32"/>
          <w:szCs w:val="32"/>
        </w:rPr>
        <w:t>附件：</w:t>
      </w:r>
    </w:p>
    <w:tbl>
      <w:tblPr>
        <w:tblStyle w:val="11"/>
        <w:tblW w:w="10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917"/>
        <w:gridCol w:w="1031"/>
        <w:gridCol w:w="1275"/>
        <w:gridCol w:w="2280"/>
        <w:gridCol w:w="1597"/>
        <w:gridCol w:w="683"/>
        <w:gridCol w:w="1134"/>
      </w:tblGrid>
      <w:tr w14:paraId="2C76A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431179F9">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序号</w:t>
            </w:r>
          </w:p>
        </w:tc>
        <w:tc>
          <w:tcPr>
            <w:tcW w:w="1917" w:type="dxa"/>
            <w:vAlign w:val="center"/>
          </w:tcPr>
          <w:p w14:paraId="78DC5D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注册证产品名称</w:t>
            </w:r>
          </w:p>
        </w:tc>
        <w:tc>
          <w:tcPr>
            <w:tcW w:w="1031" w:type="dxa"/>
            <w:vAlign w:val="center"/>
          </w:tcPr>
          <w:p w14:paraId="771C8787">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规格</w:t>
            </w:r>
          </w:p>
        </w:tc>
        <w:tc>
          <w:tcPr>
            <w:tcW w:w="1275" w:type="dxa"/>
            <w:vAlign w:val="center"/>
          </w:tcPr>
          <w:p w14:paraId="2C94CBF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型号</w:t>
            </w:r>
          </w:p>
        </w:tc>
        <w:tc>
          <w:tcPr>
            <w:tcW w:w="2280" w:type="dxa"/>
            <w:vAlign w:val="center"/>
          </w:tcPr>
          <w:p w14:paraId="4081AD8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生产厂家</w:t>
            </w:r>
          </w:p>
        </w:tc>
        <w:tc>
          <w:tcPr>
            <w:tcW w:w="1597" w:type="dxa"/>
            <w:vAlign w:val="center"/>
          </w:tcPr>
          <w:p w14:paraId="18D37F7F">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注册证号</w:t>
            </w:r>
          </w:p>
        </w:tc>
        <w:tc>
          <w:tcPr>
            <w:tcW w:w="683" w:type="dxa"/>
            <w:vAlign w:val="center"/>
          </w:tcPr>
          <w:p w14:paraId="60F7C00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单位</w:t>
            </w:r>
          </w:p>
        </w:tc>
        <w:tc>
          <w:tcPr>
            <w:tcW w:w="1134" w:type="dxa"/>
            <w:vAlign w:val="center"/>
          </w:tcPr>
          <w:p w14:paraId="1AF57BAE">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单价/元</w:t>
            </w:r>
          </w:p>
        </w:tc>
      </w:tr>
      <w:tr w14:paraId="0DDF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8" w:type="dxa"/>
            <w:vAlign w:val="center"/>
          </w:tcPr>
          <w:p w14:paraId="068CAE6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917" w:type="dxa"/>
            <w:vAlign w:val="center"/>
          </w:tcPr>
          <w:p w14:paraId="10CF8B34">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031" w:type="dxa"/>
            <w:vAlign w:val="center"/>
          </w:tcPr>
          <w:p w14:paraId="61A9E95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275" w:type="dxa"/>
            <w:vAlign w:val="center"/>
          </w:tcPr>
          <w:p w14:paraId="47EBD7DB">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2280" w:type="dxa"/>
            <w:vAlign w:val="center"/>
          </w:tcPr>
          <w:p w14:paraId="220D7DAC">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597" w:type="dxa"/>
            <w:vAlign w:val="center"/>
          </w:tcPr>
          <w:p w14:paraId="3AFF9312">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683" w:type="dxa"/>
            <w:vAlign w:val="center"/>
          </w:tcPr>
          <w:p w14:paraId="2C285AB0">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c>
          <w:tcPr>
            <w:tcW w:w="1134" w:type="dxa"/>
            <w:vAlign w:val="center"/>
          </w:tcPr>
          <w:p w14:paraId="4405FCEA">
            <w:pPr>
              <w:keepNext w:val="0"/>
              <w:keepLines w:val="0"/>
              <w:pageBreakBefore w:val="0"/>
              <w:widowControl w:val="0"/>
              <w:kinsoku/>
              <w:wordWrap/>
              <w:overflowPunct/>
              <w:topLinePunct w:val="0"/>
              <w:autoSpaceDE/>
              <w:autoSpaceDN/>
              <w:bidi w:val="0"/>
              <w:adjustRightInd/>
              <w:snapToGrid/>
              <w:spacing w:line="220" w:lineRule="exact"/>
              <w:jc w:val="center"/>
              <w:textAlignment w:val="auto"/>
              <w:outlineLvl w:val="9"/>
              <w:rPr>
                <w:rFonts w:hint="eastAsia" w:ascii="仿宋" w:hAnsi="仿宋" w:eastAsia="仿宋" w:cs="仿宋"/>
                <w:sz w:val="21"/>
                <w:szCs w:val="21"/>
                <w:vertAlign w:val="baseline"/>
                <w:lang w:val="en-US" w:eastAsia="zh-CN"/>
              </w:rPr>
            </w:pPr>
          </w:p>
        </w:tc>
      </w:tr>
    </w:tbl>
    <w:p w14:paraId="6F0F076F">
      <w:pPr>
        <w:keepNext w:val="0"/>
        <w:keepLines w:val="0"/>
        <w:pageBreakBefore w:val="0"/>
        <w:kinsoku/>
        <w:wordWrap/>
        <w:overflowPunct/>
        <w:topLinePunct w:val="0"/>
        <w:autoSpaceDE/>
        <w:autoSpaceDN/>
        <w:bidi w:val="0"/>
        <w:adjustRightInd/>
        <w:spacing w:beforeAutospacing="0" w:afterAutospacing="0" w:line="324" w:lineRule="auto"/>
        <w:ind w:right="0" w:rightChars="0" w:firstLine="960" w:firstLineChars="400"/>
        <w:textAlignment w:val="auto"/>
        <w:rPr>
          <w:rFonts w:hint="eastAsia" w:ascii="新宋体" w:hAnsi="新宋体" w:eastAsia="新宋体" w:cs="新宋体"/>
          <w:sz w:val="24"/>
        </w:rPr>
      </w:pPr>
      <w:r>
        <w:rPr>
          <w:rFonts w:hint="eastAsia" w:ascii="新宋体" w:hAnsi="新宋体" w:eastAsia="新宋体" w:cs="新宋体"/>
          <w:sz w:val="24"/>
        </w:rPr>
        <w:t xml:space="preserve"> </w:t>
      </w:r>
    </w:p>
    <w:p w14:paraId="49EC1CF9">
      <w:pPr>
        <w:pStyle w:val="16"/>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14:paraId="63969327">
      <w:pPr>
        <w:pStyle w:val="16"/>
        <w:rPr>
          <w:rFonts w:ascii="黑体" w:hAnsi="黑体" w:eastAsia="黑体" w:cs="黑体"/>
          <w:sz w:val="32"/>
          <w:szCs w:val="32"/>
        </w:rPr>
      </w:pPr>
    </w:p>
    <w:p w14:paraId="71699081">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0988793A">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D5F0CA">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03D5F0CA">
                      <w:r>
                        <w:rPr>
                          <w:rFonts w:hint="eastAsia"/>
                        </w:rPr>
                        <w:t>正本/副本</w:t>
                      </w:r>
                    </w:p>
                  </w:txbxContent>
                </v:textbox>
              </v:shape>
            </w:pict>
          </mc:Fallback>
        </mc:AlternateContent>
      </w:r>
    </w:p>
    <w:p w14:paraId="29AA7A9B">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51B64900">
      <w:pPr>
        <w:jc w:val="center"/>
        <w:rPr>
          <w:rFonts w:ascii="方正小标宋简体" w:eastAsia="方正小标宋简体"/>
          <w:color w:val="000000"/>
          <w:sz w:val="44"/>
          <w:szCs w:val="44"/>
        </w:rPr>
      </w:pPr>
    </w:p>
    <w:p w14:paraId="03095563">
      <w:pPr>
        <w:jc w:val="center"/>
        <w:rPr>
          <w:rFonts w:ascii="宋体" w:hAnsi="宋体"/>
          <w:b/>
          <w:color w:val="000000"/>
          <w:sz w:val="32"/>
          <w:szCs w:val="32"/>
        </w:rPr>
      </w:pPr>
      <w:r>
        <w:rPr>
          <w:rFonts w:hint="eastAsia" w:ascii="方正小标宋简体" w:eastAsia="方正小标宋简体"/>
          <w:color w:val="000000"/>
          <w:sz w:val="72"/>
          <w:szCs w:val="72"/>
          <w:lang w:eastAsia="zh-CN"/>
        </w:rPr>
        <w:t>响应</w:t>
      </w:r>
      <w:r>
        <w:rPr>
          <w:rFonts w:hint="eastAsia" w:ascii="方正小标宋简体" w:eastAsia="方正小标宋简体"/>
          <w:color w:val="000000"/>
          <w:sz w:val="72"/>
          <w:szCs w:val="72"/>
        </w:rPr>
        <w:t>文件</w:t>
      </w:r>
    </w:p>
    <w:p w14:paraId="07B3E20D">
      <w:pPr>
        <w:rPr>
          <w:rFonts w:ascii="宋体" w:hAnsi="宋体"/>
          <w:b/>
          <w:color w:val="000000"/>
          <w:sz w:val="32"/>
          <w:szCs w:val="32"/>
        </w:rPr>
      </w:pPr>
    </w:p>
    <w:p w14:paraId="2A77E884">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0112D71A">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7083BF0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A1D2BE7">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58855791">
      <w:pPr>
        <w:ind w:firstLine="1928" w:firstLineChars="600"/>
        <w:rPr>
          <w:rFonts w:ascii="宋体" w:hAnsi="宋体"/>
          <w:sz w:val="32"/>
          <w:szCs w:val="32"/>
        </w:rPr>
      </w:pPr>
      <w:r>
        <w:rPr>
          <w:rFonts w:hint="eastAsia" w:ascii="宋体" w:hAnsi="宋体"/>
          <w:b/>
          <w:sz w:val="32"/>
          <w:szCs w:val="32"/>
        </w:rPr>
        <w:t>移动电话：</w:t>
      </w:r>
    </w:p>
    <w:p w14:paraId="4465758B">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479EA8F1">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549505FC">
      <w:pPr>
        <w:pStyle w:val="16"/>
        <w:rPr>
          <w:rFonts w:hint="eastAsia" w:ascii="宋体" w:hAnsi="宋体"/>
          <w:b/>
          <w:color w:val="000000"/>
          <w:sz w:val="32"/>
          <w:szCs w:val="32"/>
        </w:rPr>
      </w:pPr>
    </w:p>
    <w:p w14:paraId="7B2C71C1">
      <w:pPr>
        <w:pStyle w:val="16"/>
        <w:rPr>
          <w:rFonts w:hint="eastAsia" w:ascii="宋体" w:hAnsi="宋体"/>
          <w:b/>
          <w:color w:val="000000"/>
          <w:sz w:val="32"/>
          <w:szCs w:val="32"/>
        </w:rPr>
      </w:pPr>
    </w:p>
    <w:p w14:paraId="743D9B60">
      <w:pPr>
        <w:pStyle w:val="16"/>
        <w:rPr>
          <w:rFonts w:hint="eastAsia" w:ascii="宋体" w:hAnsi="宋体"/>
          <w:b/>
          <w:color w:val="000000"/>
          <w:sz w:val="32"/>
          <w:szCs w:val="32"/>
        </w:rPr>
      </w:pPr>
    </w:p>
    <w:p w14:paraId="491E44A0">
      <w:pPr>
        <w:pStyle w:val="16"/>
        <w:rPr>
          <w:rFonts w:hint="eastAsia" w:ascii="宋体" w:hAnsi="宋体"/>
          <w:b/>
          <w:color w:val="000000"/>
          <w:sz w:val="32"/>
          <w:szCs w:val="32"/>
        </w:rPr>
      </w:pPr>
    </w:p>
    <w:p w14:paraId="7F620E14">
      <w:pPr>
        <w:pStyle w:val="16"/>
        <w:rPr>
          <w:rFonts w:hint="eastAsia" w:ascii="宋体" w:hAnsi="宋体"/>
          <w:b/>
          <w:color w:val="000000"/>
          <w:sz w:val="32"/>
          <w:szCs w:val="32"/>
        </w:rPr>
      </w:pPr>
    </w:p>
    <w:p w14:paraId="43F58A0C">
      <w:pPr>
        <w:pStyle w:val="16"/>
        <w:rPr>
          <w:rFonts w:hint="eastAsia" w:ascii="宋体" w:hAnsi="宋体"/>
          <w:b/>
          <w:color w:val="000000"/>
          <w:sz w:val="32"/>
          <w:szCs w:val="32"/>
        </w:rPr>
      </w:pPr>
    </w:p>
    <w:p w14:paraId="51B92DB2">
      <w:pPr>
        <w:pStyle w:val="16"/>
        <w:rPr>
          <w:rFonts w:hint="eastAsia" w:ascii="宋体" w:hAnsi="宋体"/>
          <w:b/>
          <w:color w:val="000000"/>
          <w:sz w:val="32"/>
          <w:szCs w:val="32"/>
        </w:rPr>
      </w:pPr>
    </w:p>
    <w:p w14:paraId="53D798AB">
      <w:pPr>
        <w:pStyle w:val="16"/>
        <w:rPr>
          <w:rFonts w:hint="eastAsia" w:ascii="宋体" w:hAnsi="宋体"/>
          <w:b/>
          <w:color w:val="000000"/>
          <w:sz w:val="32"/>
          <w:szCs w:val="32"/>
        </w:rPr>
      </w:pPr>
    </w:p>
    <w:p w14:paraId="6BF51C46">
      <w:pPr>
        <w:pStyle w:val="16"/>
        <w:rPr>
          <w:rFonts w:hint="eastAsia" w:ascii="宋体" w:hAnsi="宋体"/>
          <w:b/>
          <w:color w:val="000000"/>
          <w:sz w:val="32"/>
          <w:szCs w:val="32"/>
        </w:rPr>
      </w:pPr>
    </w:p>
    <w:p w14:paraId="3EC14F5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35E2F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3E3B7755">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50448009">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7B7940C7">
            <w:pPr>
              <w:jc w:val="center"/>
              <w:rPr>
                <w:rFonts w:ascii="微软雅黑" w:hAnsi="微软雅黑" w:eastAsia="微软雅黑"/>
                <w:b/>
                <w:color w:val="C00000"/>
              </w:rPr>
            </w:pPr>
            <w:r>
              <w:rPr>
                <w:rFonts w:hint="eastAsia" w:ascii="微软雅黑" w:hAnsi="微软雅黑" w:eastAsia="微软雅黑"/>
                <w:b/>
                <w:color w:val="C00000"/>
              </w:rPr>
              <w:t>备注</w:t>
            </w:r>
          </w:p>
        </w:tc>
      </w:tr>
      <w:tr w14:paraId="1BF09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10AC9EF5">
            <w:pPr>
              <w:jc w:val="center"/>
              <w:rPr>
                <w:rFonts w:ascii="仿宋" w:hAnsi="仿宋" w:eastAsia="仿宋"/>
                <w:b/>
                <w:color w:val="C00000"/>
                <w:sz w:val="22"/>
                <w:szCs w:val="21"/>
              </w:rPr>
            </w:pPr>
          </w:p>
        </w:tc>
        <w:tc>
          <w:tcPr>
            <w:tcW w:w="3685" w:type="dxa"/>
            <w:vAlign w:val="center"/>
          </w:tcPr>
          <w:p w14:paraId="2E247307">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6EABFF13">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3D6E3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022869F3">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A493EFC">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606908B3">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14:paraId="59CB5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29789E31">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8C5CE9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229" w:type="dxa"/>
            <w:vAlign w:val="center"/>
          </w:tcPr>
          <w:p w14:paraId="155281DC">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2AE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6ADA71B0">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4ED04B98">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DA05957">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51E7B2F">
            <w:pPr>
              <w:jc w:val="left"/>
              <w:rPr>
                <w:rFonts w:ascii="仿宋" w:hAnsi="仿宋" w:eastAsia="仿宋"/>
                <w:b/>
                <w:color w:val="C00000"/>
                <w:sz w:val="22"/>
                <w:szCs w:val="21"/>
              </w:rPr>
            </w:pPr>
          </w:p>
        </w:tc>
      </w:tr>
      <w:tr w14:paraId="34C48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443BBE46">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A261590">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45629D2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7FD9C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7240DA53">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6203C115">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14:paraId="3150796D">
            <w:pPr>
              <w:jc w:val="left"/>
              <w:rPr>
                <w:rFonts w:ascii="仿宋" w:hAnsi="仿宋" w:eastAsia="仿宋"/>
                <w:b/>
                <w:color w:val="C00000"/>
                <w:sz w:val="22"/>
                <w:szCs w:val="21"/>
              </w:rPr>
            </w:pPr>
          </w:p>
        </w:tc>
      </w:tr>
      <w:tr w14:paraId="1B490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52B8941C">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250DFA27">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67D7072C">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441F7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41A45365">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5C48EE5B">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17245E34">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30FA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7C221D6B">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54A50AAA">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28AB23F0">
            <w:pPr>
              <w:jc w:val="center"/>
              <w:rPr>
                <w:rFonts w:ascii="仿宋" w:hAnsi="仿宋" w:eastAsia="仿宋" w:cs="宋体"/>
                <w:b/>
                <w:bCs/>
                <w:color w:val="C00000"/>
                <w:kern w:val="0"/>
                <w:sz w:val="22"/>
                <w:szCs w:val="21"/>
              </w:rPr>
            </w:pPr>
          </w:p>
        </w:tc>
      </w:tr>
      <w:tr w14:paraId="3C185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690C4247">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5692FABC">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243B3C0D">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5BBD2B71">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72608749">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0C46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27231B00">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7D4C7574">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5D595FEC">
            <w:pPr>
              <w:jc w:val="center"/>
              <w:rPr>
                <w:rFonts w:ascii="仿宋" w:hAnsi="仿宋" w:eastAsia="仿宋" w:cs="宋体"/>
                <w:b/>
                <w:bCs/>
                <w:color w:val="C00000"/>
                <w:kern w:val="0"/>
                <w:sz w:val="22"/>
                <w:szCs w:val="21"/>
              </w:rPr>
            </w:pPr>
          </w:p>
        </w:tc>
      </w:tr>
    </w:tbl>
    <w:p w14:paraId="1CFF0B4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7D1FA752">
      <w:pPr>
        <w:pStyle w:val="16"/>
        <w:rPr>
          <w:rFonts w:ascii="仿宋_GB2312" w:eastAsia="仿宋_GB2312"/>
          <w:color w:val="000000"/>
          <w:sz w:val="28"/>
          <w:szCs w:val="28"/>
        </w:rPr>
      </w:pPr>
    </w:p>
    <w:p w14:paraId="3E55B80A">
      <w:pPr>
        <w:pStyle w:val="16"/>
        <w:rPr>
          <w:rFonts w:ascii="仿宋_GB2312" w:eastAsia="仿宋_GB2312"/>
          <w:color w:val="000000"/>
          <w:sz w:val="28"/>
          <w:szCs w:val="28"/>
        </w:rPr>
      </w:pPr>
    </w:p>
    <w:p w14:paraId="22299BBF">
      <w:pPr>
        <w:pStyle w:val="16"/>
        <w:rPr>
          <w:rFonts w:ascii="仿宋_GB2312" w:eastAsia="仿宋_GB2312"/>
          <w:color w:val="000000"/>
          <w:sz w:val="28"/>
          <w:szCs w:val="28"/>
        </w:rPr>
      </w:pPr>
    </w:p>
    <w:p w14:paraId="74130A68">
      <w:pPr>
        <w:pStyle w:val="16"/>
        <w:rPr>
          <w:rFonts w:ascii="仿宋_GB2312" w:eastAsia="仿宋_GB2312"/>
          <w:color w:val="000000"/>
          <w:sz w:val="28"/>
          <w:szCs w:val="28"/>
        </w:rPr>
      </w:pPr>
    </w:p>
    <w:p w14:paraId="3F0517F6">
      <w:pPr>
        <w:pStyle w:val="16"/>
        <w:rPr>
          <w:rFonts w:ascii="仿宋_GB2312" w:eastAsia="仿宋_GB2312"/>
          <w:color w:val="000000"/>
          <w:sz w:val="28"/>
          <w:szCs w:val="28"/>
        </w:rPr>
      </w:pPr>
    </w:p>
    <w:p w14:paraId="75F1050A">
      <w:pPr>
        <w:pStyle w:val="16"/>
        <w:rPr>
          <w:rFonts w:ascii="仿宋_GB2312" w:eastAsia="仿宋_GB2312"/>
          <w:color w:val="000000"/>
          <w:sz w:val="28"/>
          <w:szCs w:val="28"/>
        </w:rPr>
      </w:pPr>
    </w:p>
    <w:p w14:paraId="204F2CD7">
      <w:pPr>
        <w:pStyle w:val="16"/>
        <w:rPr>
          <w:rFonts w:ascii="仿宋_GB2312" w:eastAsia="仿宋_GB2312"/>
          <w:color w:val="000000"/>
          <w:sz w:val="28"/>
          <w:szCs w:val="28"/>
        </w:rPr>
      </w:pPr>
    </w:p>
    <w:p w14:paraId="611B6C56">
      <w:pPr>
        <w:pStyle w:val="16"/>
        <w:rPr>
          <w:rFonts w:ascii="仿宋_GB2312" w:eastAsia="仿宋_GB2312"/>
          <w:color w:val="000000"/>
          <w:sz w:val="28"/>
          <w:szCs w:val="28"/>
        </w:rPr>
      </w:pPr>
    </w:p>
    <w:p w14:paraId="5AD82993">
      <w:pPr>
        <w:pStyle w:val="16"/>
        <w:rPr>
          <w:rFonts w:ascii="仿宋_GB2312" w:eastAsia="仿宋_GB2312"/>
          <w:color w:val="000000"/>
          <w:sz w:val="28"/>
          <w:szCs w:val="28"/>
        </w:rPr>
      </w:pPr>
    </w:p>
    <w:p w14:paraId="6BE03A8E">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61C1FBFD">
      <w:pPr>
        <w:spacing w:line="500" w:lineRule="exact"/>
        <w:rPr>
          <w:rFonts w:ascii="方正小标宋简体" w:eastAsia="方正小标宋简体"/>
          <w:color w:val="000000"/>
          <w:sz w:val="44"/>
          <w:szCs w:val="44"/>
        </w:rPr>
      </w:pPr>
    </w:p>
    <w:p w14:paraId="01303C76">
      <w:pPr>
        <w:spacing w:line="340" w:lineRule="atLeast"/>
        <w:outlineLvl w:val="0"/>
        <w:rPr>
          <w:rFonts w:ascii="黑体" w:hAnsi="宋体" w:eastAsia="黑体" w:cs="宋体"/>
          <w:b/>
          <w:color w:val="000000"/>
          <w:sz w:val="32"/>
          <w:szCs w:val="32"/>
        </w:rPr>
      </w:pPr>
      <w:bookmarkStart w:id="0" w:name="_Toc15313"/>
      <w:bookmarkStart w:id="1" w:name="_Toc9548"/>
      <w:bookmarkStart w:id="2" w:name="_Toc337475854"/>
      <w:bookmarkStart w:id="3" w:name="_Toc219626747"/>
      <w:bookmarkStart w:id="4" w:name="_Toc258360269"/>
      <w:bookmarkStart w:id="5" w:name="_Toc337554724"/>
      <w:bookmarkStart w:id="6" w:name="_Toc320878640"/>
      <w:bookmarkStart w:id="7" w:name="_Toc258333636"/>
      <w:bookmarkStart w:id="8" w:name="_Toc261708863"/>
      <w:bookmarkStart w:id="9" w:name="_Toc258354146"/>
      <w:bookmarkStart w:id="10" w:name="_Toc10762"/>
      <w:bookmarkStart w:id="11" w:name="_Toc258360158"/>
      <w:bookmarkStart w:id="12" w:name="_Toc248896063"/>
      <w:bookmarkStart w:id="13" w:name="_Toc304219257"/>
      <w:bookmarkStart w:id="14" w:name="_Toc17030"/>
    </w:p>
    <w:p w14:paraId="26A989F4">
      <w:pPr>
        <w:spacing w:line="340" w:lineRule="atLeast"/>
        <w:outlineLvl w:val="0"/>
        <w:rPr>
          <w:rFonts w:ascii="黑体" w:hAnsi="宋体" w:eastAsia="黑体" w:cs="宋体"/>
          <w:b/>
          <w:color w:val="000000"/>
          <w:sz w:val="32"/>
          <w:szCs w:val="32"/>
        </w:rPr>
      </w:pPr>
    </w:p>
    <w:p w14:paraId="1C470084">
      <w:pPr>
        <w:spacing w:line="340" w:lineRule="atLeast"/>
        <w:outlineLvl w:val="0"/>
        <w:rPr>
          <w:rFonts w:ascii="黑体" w:hAnsi="宋体" w:eastAsia="黑体" w:cs="宋体"/>
          <w:b/>
          <w:color w:val="000000"/>
          <w:sz w:val="32"/>
          <w:szCs w:val="32"/>
        </w:rPr>
      </w:pPr>
    </w:p>
    <w:p w14:paraId="3576C8C0">
      <w:pPr>
        <w:spacing w:line="340" w:lineRule="atLeast"/>
        <w:outlineLvl w:val="0"/>
        <w:rPr>
          <w:rFonts w:ascii="黑体" w:hAnsi="宋体" w:eastAsia="黑体" w:cs="宋体"/>
          <w:b/>
          <w:color w:val="000000"/>
          <w:sz w:val="32"/>
          <w:szCs w:val="32"/>
        </w:rPr>
      </w:pPr>
    </w:p>
    <w:p w14:paraId="38505883">
      <w:pPr>
        <w:spacing w:line="340" w:lineRule="atLeast"/>
        <w:outlineLvl w:val="0"/>
        <w:rPr>
          <w:rFonts w:ascii="黑体" w:hAnsi="宋体" w:eastAsia="黑体" w:cs="宋体"/>
          <w:b/>
          <w:color w:val="000000"/>
          <w:sz w:val="32"/>
          <w:szCs w:val="32"/>
        </w:rPr>
      </w:pPr>
    </w:p>
    <w:p w14:paraId="24BA7F0B">
      <w:pPr>
        <w:spacing w:line="340" w:lineRule="atLeast"/>
        <w:outlineLvl w:val="0"/>
        <w:rPr>
          <w:rFonts w:ascii="黑体" w:hAnsi="宋体" w:eastAsia="黑体" w:cs="宋体"/>
          <w:b/>
          <w:color w:val="000000"/>
          <w:sz w:val="32"/>
          <w:szCs w:val="32"/>
        </w:rPr>
      </w:pPr>
    </w:p>
    <w:p w14:paraId="0B3CC5F5">
      <w:pPr>
        <w:pStyle w:val="16"/>
        <w:rPr>
          <w:rFonts w:ascii="黑体" w:hAnsi="宋体" w:eastAsia="黑体" w:cs="宋体"/>
          <w:b/>
          <w:color w:val="000000"/>
          <w:sz w:val="32"/>
          <w:szCs w:val="32"/>
        </w:rPr>
      </w:pPr>
    </w:p>
    <w:p w14:paraId="117426BC">
      <w:pPr>
        <w:pStyle w:val="16"/>
        <w:rPr>
          <w:rFonts w:ascii="黑体" w:hAnsi="宋体" w:eastAsia="黑体" w:cs="宋体"/>
          <w:b/>
          <w:color w:val="000000"/>
          <w:sz w:val="32"/>
          <w:szCs w:val="32"/>
        </w:rPr>
      </w:pPr>
    </w:p>
    <w:p w14:paraId="7D40D697">
      <w:pPr>
        <w:pStyle w:val="16"/>
        <w:rPr>
          <w:rFonts w:ascii="黑体" w:hAnsi="宋体" w:eastAsia="黑体" w:cs="宋体"/>
          <w:b/>
          <w:color w:val="000000"/>
          <w:sz w:val="32"/>
          <w:szCs w:val="32"/>
        </w:rPr>
      </w:pPr>
    </w:p>
    <w:p w14:paraId="2F40456A">
      <w:pPr>
        <w:pStyle w:val="16"/>
        <w:rPr>
          <w:rFonts w:ascii="黑体" w:hAnsi="宋体" w:eastAsia="黑体" w:cs="宋体"/>
          <w:b/>
          <w:color w:val="000000"/>
          <w:sz w:val="32"/>
          <w:szCs w:val="32"/>
        </w:rPr>
      </w:pPr>
    </w:p>
    <w:p w14:paraId="6F900E03">
      <w:pPr>
        <w:spacing w:line="340" w:lineRule="atLeast"/>
        <w:outlineLvl w:val="0"/>
        <w:rPr>
          <w:rFonts w:ascii="黑体" w:hAnsi="宋体" w:eastAsia="黑体" w:cs="宋体"/>
          <w:b/>
          <w:color w:val="000000"/>
          <w:sz w:val="32"/>
          <w:szCs w:val="32"/>
        </w:rPr>
      </w:pPr>
    </w:p>
    <w:p w14:paraId="5F144254">
      <w:pPr>
        <w:spacing w:line="340" w:lineRule="atLeast"/>
        <w:outlineLvl w:val="0"/>
        <w:rPr>
          <w:rFonts w:ascii="黑体" w:hAnsi="宋体" w:eastAsia="黑体" w:cs="宋体"/>
          <w:b/>
          <w:color w:val="000000"/>
          <w:sz w:val="32"/>
          <w:szCs w:val="32"/>
        </w:rPr>
      </w:pPr>
    </w:p>
    <w:p w14:paraId="12634C89">
      <w:pPr>
        <w:spacing w:line="340" w:lineRule="atLeast"/>
        <w:outlineLvl w:val="0"/>
        <w:rPr>
          <w:rFonts w:ascii="黑体" w:hAnsi="宋体" w:eastAsia="黑体" w:cs="宋体"/>
          <w:b/>
          <w:color w:val="000000"/>
          <w:sz w:val="32"/>
          <w:szCs w:val="32"/>
        </w:rPr>
      </w:pPr>
    </w:p>
    <w:p w14:paraId="3EB8E683">
      <w:pPr>
        <w:spacing w:line="340" w:lineRule="atLeast"/>
        <w:outlineLvl w:val="0"/>
        <w:rPr>
          <w:rFonts w:ascii="黑体" w:hAnsi="宋体" w:eastAsia="黑体" w:cs="宋体"/>
          <w:b/>
          <w:color w:val="000000"/>
          <w:sz w:val="32"/>
          <w:szCs w:val="32"/>
        </w:rPr>
      </w:pPr>
    </w:p>
    <w:p w14:paraId="451C4D82">
      <w:pPr>
        <w:spacing w:line="340" w:lineRule="atLeast"/>
        <w:outlineLvl w:val="0"/>
        <w:rPr>
          <w:rFonts w:ascii="黑体" w:hAnsi="宋体" w:eastAsia="黑体" w:cs="宋体"/>
          <w:b/>
          <w:color w:val="000000"/>
          <w:sz w:val="32"/>
          <w:szCs w:val="32"/>
        </w:rPr>
      </w:pPr>
    </w:p>
    <w:p w14:paraId="4AF74870">
      <w:pPr>
        <w:spacing w:line="340" w:lineRule="atLeast"/>
        <w:outlineLvl w:val="0"/>
        <w:rPr>
          <w:rFonts w:ascii="黑体" w:hAnsi="宋体" w:eastAsia="黑体" w:cs="宋体"/>
          <w:b/>
          <w:color w:val="000000"/>
          <w:sz w:val="32"/>
          <w:szCs w:val="32"/>
        </w:rPr>
      </w:pPr>
    </w:p>
    <w:p w14:paraId="1070D002">
      <w:pPr>
        <w:spacing w:line="340" w:lineRule="atLeast"/>
        <w:outlineLvl w:val="0"/>
        <w:rPr>
          <w:rFonts w:ascii="黑体" w:hAnsi="宋体" w:eastAsia="黑体" w:cs="宋体"/>
          <w:b/>
          <w:color w:val="000000"/>
          <w:sz w:val="32"/>
          <w:szCs w:val="32"/>
        </w:rPr>
      </w:pPr>
    </w:p>
    <w:p w14:paraId="17A28F85">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1AEBA0EC">
      <w:pPr>
        <w:spacing w:line="480" w:lineRule="exact"/>
        <w:jc w:val="both"/>
        <w:rPr>
          <w:rFonts w:ascii="方正小标宋简体" w:eastAsia="方正小标宋简体"/>
          <w:color w:val="000000"/>
          <w:sz w:val="44"/>
          <w:szCs w:val="44"/>
        </w:rPr>
      </w:pPr>
    </w:p>
    <w:p w14:paraId="4E58951D">
      <w:pPr>
        <w:spacing w:line="480" w:lineRule="exact"/>
        <w:jc w:val="center"/>
        <w:rPr>
          <w:rFonts w:ascii="方正小标宋简体" w:eastAsia="方正小标宋简体"/>
          <w:color w:val="000000"/>
          <w:sz w:val="44"/>
          <w:szCs w:val="44"/>
        </w:rPr>
      </w:pPr>
    </w:p>
    <w:p w14:paraId="70B92EC1">
      <w:pPr>
        <w:spacing w:line="480" w:lineRule="exact"/>
        <w:jc w:val="center"/>
        <w:rPr>
          <w:rFonts w:ascii="方正小标宋简体" w:eastAsia="方正小标宋简体"/>
          <w:color w:val="000000"/>
          <w:sz w:val="44"/>
          <w:szCs w:val="44"/>
        </w:rPr>
      </w:pPr>
    </w:p>
    <w:p w14:paraId="12905853">
      <w:pPr>
        <w:pStyle w:val="16"/>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14:paraId="06571617">
      <w:pPr>
        <w:pStyle w:val="16"/>
        <w:rPr>
          <w:rFonts w:ascii="方正小标宋简体" w:eastAsia="方正小标宋简体"/>
          <w:color w:val="000000"/>
          <w:sz w:val="44"/>
          <w:szCs w:val="44"/>
        </w:rPr>
      </w:pPr>
    </w:p>
    <w:p w14:paraId="6B182703">
      <w:pPr>
        <w:pStyle w:val="16"/>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140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2"/>
        <w:gridCol w:w="1165"/>
        <w:gridCol w:w="1110"/>
        <w:gridCol w:w="1137"/>
        <w:gridCol w:w="630"/>
        <w:gridCol w:w="456"/>
        <w:gridCol w:w="2245"/>
        <w:gridCol w:w="1862"/>
        <w:gridCol w:w="1824"/>
        <w:gridCol w:w="1189"/>
        <w:gridCol w:w="1189"/>
      </w:tblGrid>
      <w:tr w14:paraId="6D85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695" w:type="dxa"/>
            <w:gridSpan w:val="9"/>
            <w:tcBorders>
              <w:top w:val="nil"/>
              <w:left w:val="nil"/>
              <w:bottom w:val="nil"/>
              <w:right w:val="nil"/>
            </w:tcBorders>
            <w:shd w:val="clear" w:color="auto" w:fill="auto"/>
            <w:vAlign w:val="center"/>
          </w:tcPr>
          <w:p w14:paraId="30EBD0A4">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报价表</w:t>
            </w:r>
          </w:p>
        </w:tc>
        <w:tc>
          <w:tcPr>
            <w:tcW w:w="1192" w:type="dxa"/>
            <w:tcBorders>
              <w:top w:val="nil"/>
              <w:left w:val="nil"/>
              <w:bottom w:val="nil"/>
              <w:right w:val="nil"/>
            </w:tcBorders>
            <w:shd w:val="clear" w:color="auto" w:fill="auto"/>
            <w:vAlign w:val="center"/>
          </w:tcPr>
          <w:p w14:paraId="7F4CCE29">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c>
          <w:tcPr>
            <w:tcW w:w="1192" w:type="dxa"/>
            <w:tcBorders>
              <w:top w:val="nil"/>
              <w:left w:val="nil"/>
              <w:bottom w:val="nil"/>
              <w:right w:val="nil"/>
            </w:tcBorders>
            <w:shd w:val="clear" w:color="auto" w:fill="auto"/>
            <w:vAlign w:val="center"/>
          </w:tcPr>
          <w:p w14:paraId="4F3F2E6B">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tc>
      </w:tr>
      <w:tr w14:paraId="4CEB7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8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3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2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7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3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41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13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74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09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省标代码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99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医保代码</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F2E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备注</w:t>
            </w:r>
          </w:p>
        </w:tc>
      </w:tr>
      <w:tr w14:paraId="1863F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6642">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BB4B9">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7956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FAA">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5109">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D5A9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9B2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FBBC">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C34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4A9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E3DC">
            <w:pPr>
              <w:jc w:val="center"/>
              <w:rPr>
                <w:rFonts w:hint="eastAsia" w:ascii="宋体" w:hAnsi="宋体" w:eastAsia="宋体" w:cs="宋体"/>
                <w:i w:val="0"/>
                <w:iCs w:val="0"/>
                <w:color w:val="000000"/>
                <w:sz w:val="24"/>
                <w:szCs w:val="24"/>
                <w:u w:val="none"/>
              </w:rPr>
            </w:pPr>
          </w:p>
        </w:tc>
      </w:tr>
      <w:tr w14:paraId="19E6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857C">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22F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73DF9">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55CDC">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92C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8A8F">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334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F66E">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938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FED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A49C">
            <w:pPr>
              <w:jc w:val="center"/>
              <w:rPr>
                <w:rFonts w:hint="eastAsia" w:ascii="宋体" w:hAnsi="宋体" w:eastAsia="宋体" w:cs="宋体"/>
                <w:i w:val="0"/>
                <w:iCs w:val="0"/>
                <w:color w:val="000000"/>
                <w:sz w:val="24"/>
                <w:szCs w:val="24"/>
                <w:u w:val="none"/>
              </w:rPr>
            </w:pPr>
          </w:p>
        </w:tc>
      </w:tr>
      <w:tr w14:paraId="1313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5D6E">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FA60">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ED2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69BF">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0AFB6">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5D527">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D25">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A154">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E36B">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F29E">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DFF4">
            <w:pPr>
              <w:jc w:val="center"/>
              <w:rPr>
                <w:rFonts w:hint="eastAsia" w:ascii="宋体" w:hAnsi="宋体" w:eastAsia="宋体" w:cs="宋体"/>
                <w:i w:val="0"/>
                <w:iCs w:val="0"/>
                <w:color w:val="000000"/>
                <w:sz w:val="24"/>
                <w:szCs w:val="24"/>
                <w:u w:val="none"/>
              </w:rPr>
            </w:pPr>
          </w:p>
        </w:tc>
      </w:tr>
      <w:tr w14:paraId="5B7DD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45DD">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15A5">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A15D">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E5D4">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E6F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A155">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B4A8">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66DA">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8BDA">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3750">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40BD">
            <w:pPr>
              <w:jc w:val="center"/>
              <w:rPr>
                <w:rFonts w:hint="eastAsia" w:ascii="宋体" w:hAnsi="宋体" w:eastAsia="宋体" w:cs="宋体"/>
                <w:i w:val="0"/>
                <w:iCs w:val="0"/>
                <w:color w:val="000000"/>
                <w:sz w:val="24"/>
                <w:szCs w:val="24"/>
                <w:u w:val="none"/>
              </w:rPr>
            </w:pPr>
          </w:p>
        </w:tc>
      </w:tr>
      <w:tr w14:paraId="7773F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5E50">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D3E38">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7B276">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BC3B">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B54D">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266B9">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F8E7">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FE758">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8C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1219">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FFE">
            <w:pPr>
              <w:jc w:val="center"/>
              <w:rPr>
                <w:rFonts w:hint="eastAsia" w:ascii="宋体" w:hAnsi="宋体" w:eastAsia="宋体" w:cs="宋体"/>
                <w:i w:val="0"/>
                <w:iCs w:val="0"/>
                <w:color w:val="000000"/>
                <w:sz w:val="24"/>
                <w:szCs w:val="24"/>
                <w:u w:val="none"/>
              </w:rPr>
            </w:pPr>
          </w:p>
        </w:tc>
      </w:tr>
      <w:tr w14:paraId="67F46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FBC25">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3F2A">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73CC">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3CF1">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B25B">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153B6">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4731">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57F9">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AE0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F52F4">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DD46">
            <w:pPr>
              <w:jc w:val="center"/>
              <w:rPr>
                <w:rFonts w:hint="eastAsia" w:ascii="宋体" w:hAnsi="宋体" w:eastAsia="宋体" w:cs="宋体"/>
                <w:i w:val="0"/>
                <w:iCs w:val="0"/>
                <w:color w:val="000000"/>
                <w:sz w:val="24"/>
                <w:szCs w:val="24"/>
                <w:u w:val="none"/>
              </w:rPr>
            </w:pPr>
          </w:p>
        </w:tc>
      </w:tr>
      <w:tr w14:paraId="21D6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7F8">
            <w:pPr>
              <w:jc w:val="center"/>
              <w:rPr>
                <w:rFonts w:hint="eastAsia" w:ascii="宋体" w:hAnsi="宋体" w:eastAsia="宋体" w:cs="宋体"/>
                <w:i w:val="0"/>
                <w:iCs w:val="0"/>
                <w:color w:val="000000"/>
                <w:sz w:val="24"/>
                <w:szCs w:val="24"/>
                <w:u w:val="none"/>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D4B7">
            <w:pPr>
              <w:jc w:val="center"/>
              <w:rPr>
                <w:rFonts w:hint="eastAsia" w:ascii="宋体" w:hAnsi="宋体" w:eastAsia="宋体" w:cs="宋体"/>
                <w:i w:val="0"/>
                <w:iCs w:val="0"/>
                <w:color w:val="000000"/>
                <w:sz w:val="24"/>
                <w:szCs w:val="24"/>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BE0C0">
            <w:pPr>
              <w:jc w:val="center"/>
              <w:rPr>
                <w:rFonts w:hint="eastAsia" w:ascii="宋体" w:hAnsi="宋体" w:eastAsia="宋体" w:cs="宋体"/>
                <w:i w:val="0"/>
                <w:iCs w:val="0"/>
                <w:color w:val="000000"/>
                <w:sz w:val="24"/>
                <w:szCs w:val="24"/>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EF1C0">
            <w:pPr>
              <w:jc w:val="center"/>
              <w:rPr>
                <w:rFonts w:hint="eastAsia" w:ascii="宋体" w:hAnsi="宋体" w:eastAsia="宋体" w:cs="宋体"/>
                <w:i w:val="0"/>
                <w:iCs w:val="0"/>
                <w:color w:val="000000"/>
                <w:sz w:val="24"/>
                <w:szCs w:val="24"/>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B54E">
            <w:pPr>
              <w:jc w:val="center"/>
              <w:rPr>
                <w:rFonts w:hint="eastAsia" w:ascii="宋体" w:hAnsi="宋体" w:eastAsia="宋体" w:cs="宋体"/>
                <w:i w:val="0"/>
                <w:iCs w:val="0"/>
                <w:color w:val="000000"/>
                <w:sz w:val="24"/>
                <w:szCs w:val="24"/>
                <w:u w:val="none"/>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EDBE">
            <w:pPr>
              <w:jc w:val="center"/>
              <w:rPr>
                <w:rFonts w:hint="eastAsia" w:ascii="宋体" w:hAnsi="宋体" w:eastAsia="宋体" w:cs="宋体"/>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F9DB">
            <w:pPr>
              <w:jc w:val="center"/>
              <w:rPr>
                <w:rFonts w:hint="eastAsia" w:ascii="宋体" w:hAnsi="宋体" w:eastAsia="宋体" w:cs="宋体"/>
                <w:i w:val="0"/>
                <w:iCs w:val="0"/>
                <w:color w:val="000000"/>
                <w:sz w:val="24"/>
                <w:szCs w:val="24"/>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7165F">
            <w:pPr>
              <w:jc w:val="center"/>
              <w:rPr>
                <w:rFonts w:hint="eastAsia" w:ascii="宋体" w:hAnsi="宋体" w:eastAsia="宋体" w:cs="宋体"/>
                <w:i w:val="0"/>
                <w:iCs w:val="0"/>
                <w:color w:val="000000"/>
                <w:sz w:val="24"/>
                <w:szCs w:val="24"/>
                <w:u w:val="none"/>
              </w:rPr>
            </w:pP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9C9B2">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3E58">
            <w:pPr>
              <w:jc w:val="center"/>
              <w:rPr>
                <w:rFonts w:hint="eastAsia" w:ascii="宋体" w:hAnsi="宋体" w:eastAsia="宋体" w:cs="宋体"/>
                <w:i w:val="0"/>
                <w:iCs w:val="0"/>
                <w:color w:val="000000"/>
                <w:sz w:val="24"/>
                <w:szCs w:val="24"/>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9862">
            <w:pPr>
              <w:jc w:val="center"/>
              <w:rPr>
                <w:rFonts w:hint="eastAsia" w:ascii="宋体" w:hAnsi="宋体" w:eastAsia="宋体" w:cs="宋体"/>
                <w:i w:val="0"/>
                <w:iCs w:val="0"/>
                <w:color w:val="000000"/>
                <w:sz w:val="24"/>
                <w:szCs w:val="24"/>
                <w:u w:val="none"/>
              </w:rPr>
            </w:pPr>
          </w:p>
        </w:tc>
      </w:tr>
    </w:tbl>
    <w:p w14:paraId="023BAC3F">
      <w:pPr>
        <w:pStyle w:val="16"/>
        <w:rPr>
          <w:rFonts w:ascii="黑体" w:eastAsia="黑体"/>
          <w:color w:val="000000"/>
          <w:sz w:val="32"/>
          <w:szCs w:val="32"/>
        </w:rPr>
        <w:sectPr>
          <w:pgSz w:w="16838" w:h="11906" w:orient="landscape"/>
          <w:pgMar w:top="1800" w:right="1440" w:bottom="1800" w:left="1440" w:header="851" w:footer="992" w:gutter="0"/>
          <w:pgNumType w:fmt="decimal"/>
          <w:cols w:space="425" w:num="1"/>
          <w:docGrid w:type="lines" w:linePitch="312" w:charSpace="0"/>
        </w:sectPr>
      </w:pPr>
    </w:p>
    <w:p w14:paraId="0459764C">
      <w:pPr>
        <w:pStyle w:val="16"/>
        <w:rPr>
          <w:rFonts w:ascii="黑体" w:eastAsia="黑体"/>
          <w:color w:val="000000"/>
          <w:sz w:val="32"/>
          <w:szCs w:val="32"/>
        </w:rPr>
      </w:pPr>
    </w:p>
    <w:p w14:paraId="611DCCCB">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响应函</w:t>
      </w:r>
    </w:p>
    <w:p w14:paraId="18FAEB89">
      <w:pPr>
        <w:spacing w:line="580" w:lineRule="exact"/>
        <w:rPr>
          <w:rFonts w:ascii="仿宋_GB2312" w:eastAsia="仿宋_GB2312"/>
          <w:color w:val="000000"/>
          <w:sz w:val="30"/>
          <w:szCs w:val="30"/>
          <w:u w:val="single"/>
        </w:rPr>
      </w:pPr>
    </w:p>
    <w:p w14:paraId="2E50D1CF">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7555EC27">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34C5ED03">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57CD1160">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41CE3B12">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5F0B0A5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14:paraId="522E5EEA">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C01F477">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72E9D8B8">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6BF0A591">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0545F35E">
      <w:pPr>
        <w:spacing w:line="580" w:lineRule="exact"/>
        <w:ind w:firstLine="600" w:firstLineChars="200"/>
        <w:rPr>
          <w:rFonts w:ascii="仿宋_GB2312" w:eastAsia="仿宋_GB2312"/>
          <w:color w:val="000000"/>
          <w:sz w:val="30"/>
          <w:szCs w:val="30"/>
          <w:u w:val="single"/>
        </w:rPr>
      </w:pPr>
    </w:p>
    <w:p w14:paraId="2CD4751B">
      <w:pPr>
        <w:spacing w:line="440" w:lineRule="exact"/>
        <w:outlineLvl w:val="0"/>
        <w:rPr>
          <w:rFonts w:ascii="黑体" w:eastAsia="黑体"/>
          <w:color w:val="000000"/>
          <w:sz w:val="32"/>
          <w:szCs w:val="32"/>
        </w:rPr>
      </w:pPr>
    </w:p>
    <w:p w14:paraId="26F6CFFB">
      <w:pPr>
        <w:spacing w:line="440" w:lineRule="exact"/>
        <w:outlineLvl w:val="0"/>
        <w:rPr>
          <w:rFonts w:ascii="黑体" w:eastAsia="黑体"/>
          <w:color w:val="000000"/>
          <w:sz w:val="32"/>
          <w:szCs w:val="32"/>
        </w:rPr>
      </w:pPr>
    </w:p>
    <w:p w14:paraId="544F4ECF">
      <w:pPr>
        <w:pStyle w:val="16"/>
        <w:rPr>
          <w:rFonts w:ascii="黑体" w:eastAsia="黑体"/>
          <w:color w:val="000000"/>
          <w:sz w:val="32"/>
          <w:szCs w:val="32"/>
        </w:rPr>
      </w:pPr>
    </w:p>
    <w:p w14:paraId="2F05DA10">
      <w:pPr>
        <w:pStyle w:val="16"/>
        <w:rPr>
          <w:rFonts w:ascii="黑体" w:eastAsia="黑体"/>
          <w:color w:val="000000"/>
          <w:sz w:val="32"/>
          <w:szCs w:val="32"/>
        </w:rPr>
      </w:pPr>
    </w:p>
    <w:p w14:paraId="1C20D2F1">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0CD639AD">
      <w:pPr>
        <w:spacing w:line="500" w:lineRule="exact"/>
        <w:jc w:val="center"/>
        <w:rPr>
          <w:rFonts w:ascii="方正小标宋简体" w:hAnsi="宋体" w:eastAsia="方正小标宋简体"/>
          <w:color w:val="000000"/>
          <w:sz w:val="44"/>
          <w:szCs w:val="44"/>
        </w:rPr>
      </w:pPr>
    </w:p>
    <w:p w14:paraId="5CF7D126">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1A05C070">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443455CD">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活动。</w:t>
      </w:r>
    </w:p>
    <w:p w14:paraId="6CD4C62E">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3272636E">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6A2DC9BF">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6FB4DF46">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3958557A">
      <w:pPr>
        <w:spacing w:line="520" w:lineRule="exact"/>
        <w:ind w:left="420"/>
        <w:rPr>
          <w:rFonts w:ascii="仿宋_GB2312" w:hAnsi="宋体" w:eastAsia="仿宋_GB2312"/>
          <w:color w:val="000000"/>
          <w:sz w:val="30"/>
          <w:szCs w:val="30"/>
        </w:rPr>
      </w:pPr>
    </w:p>
    <w:p w14:paraId="46B1ABE2">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62BF75">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21837E0">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1162DE2B">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0C692E8C">
                      <w:pPr>
                        <w:ind w:firstLine="1050" w:firstLineChars="500"/>
                      </w:pPr>
                    </w:p>
                    <w:p w14:paraId="19868485">
                      <w:pPr>
                        <w:jc w:val="center"/>
                      </w:pPr>
                      <w:r>
                        <w:rPr>
                          <w:rFonts w:hint="eastAsia"/>
                        </w:rPr>
                        <w:t>法人代表</w:t>
                      </w:r>
                    </w:p>
                    <w:p w14:paraId="0CEC4EC3">
                      <w:pPr>
                        <w:jc w:val="center"/>
                      </w:pPr>
                      <w:r>
                        <w:rPr>
                          <w:rFonts w:hint="eastAsia"/>
                        </w:rPr>
                        <w:t>身份证复印件背面</w:t>
                      </w:r>
                    </w:p>
                    <w:p w14:paraId="0809AC10">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1E00E7F2">
                      <w:pPr>
                        <w:jc w:val="center"/>
                      </w:pPr>
                    </w:p>
                    <w:p w14:paraId="7F94A36E">
                      <w:pPr>
                        <w:jc w:val="center"/>
                      </w:pPr>
                      <w:r>
                        <w:rPr>
                          <w:rFonts w:hint="eastAsia"/>
                        </w:rPr>
                        <w:t>法人代表</w:t>
                      </w:r>
                    </w:p>
                    <w:p w14:paraId="75BA09E8">
                      <w:pPr>
                        <w:jc w:val="center"/>
                      </w:pPr>
                      <w:r>
                        <w:rPr>
                          <w:rFonts w:hint="eastAsia"/>
                        </w:rPr>
                        <w:t>身份证复印件正面</w:t>
                      </w:r>
                    </w:p>
                    <w:p w14:paraId="1CCF3A57">
                      <w:pPr>
                        <w:jc w:val="center"/>
                      </w:pPr>
                      <w:r>
                        <w:rPr>
                          <w:rFonts w:hint="eastAsia"/>
                        </w:rPr>
                        <w:t>粘贴此处</w:t>
                      </w:r>
                    </w:p>
                  </w:txbxContent>
                </v:textbox>
              </v:rect>
            </w:pict>
          </mc:Fallback>
        </mc:AlternateContent>
      </w:r>
    </w:p>
    <w:p w14:paraId="5C1C182F">
      <w:pPr>
        <w:rPr>
          <w:rFonts w:ascii="仿宋_GB2312" w:hAnsi="宋体" w:eastAsia="仿宋_GB2312"/>
          <w:color w:val="000000"/>
          <w:sz w:val="32"/>
          <w:szCs w:val="32"/>
        </w:rPr>
      </w:pPr>
    </w:p>
    <w:p w14:paraId="102902D2">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3700F6DE">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04229316">
                      <w:pPr>
                        <w:jc w:val="center"/>
                      </w:pPr>
                    </w:p>
                    <w:p w14:paraId="35BB4C87">
                      <w:pPr>
                        <w:ind w:firstLine="1470" w:firstLineChars="700"/>
                      </w:pPr>
                      <w:r>
                        <w:rPr>
                          <w:rFonts w:hint="eastAsia"/>
                        </w:rPr>
                        <w:t>被授权人</w:t>
                      </w:r>
                    </w:p>
                    <w:p w14:paraId="6A0437E0">
                      <w:pPr>
                        <w:jc w:val="center"/>
                      </w:pPr>
                      <w:r>
                        <w:rPr>
                          <w:rFonts w:hint="eastAsia"/>
                        </w:rPr>
                        <w:t>身份证复印件正面</w:t>
                      </w:r>
                    </w:p>
                    <w:p w14:paraId="3917D9F8">
                      <w:pPr>
                        <w:jc w:val="center"/>
                      </w:pPr>
                      <w:r>
                        <w:rPr>
                          <w:rFonts w:hint="eastAsia"/>
                        </w:rPr>
                        <w:t>粘贴此处</w:t>
                      </w:r>
                    </w:p>
                  </w:txbxContent>
                </v:textbox>
              </v:rect>
            </w:pict>
          </mc:Fallback>
        </mc:AlternateContent>
      </w:r>
    </w:p>
    <w:p w14:paraId="7455B4EA">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5D2D2478">
                      <w:pPr>
                        <w:jc w:val="center"/>
                      </w:pPr>
                    </w:p>
                    <w:p w14:paraId="54850565">
                      <w:pPr>
                        <w:ind w:firstLine="1470" w:firstLineChars="700"/>
                      </w:pPr>
                      <w:r>
                        <w:rPr>
                          <w:rFonts w:hint="eastAsia"/>
                        </w:rPr>
                        <w:t>被授权人</w:t>
                      </w:r>
                    </w:p>
                    <w:p w14:paraId="52285392">
                      <w:pPr>
                        <w:jc w:val="center"/>
                      </w:pPr>
                      <w:r>
                        <w:rPr>
                          <w:rFonts w:hint="eastAsia"/>
                        </w:rPr>
                        <w:t>身份证复印件正面</w:t>
                      </w:r>
                    </w:p>
                    <w:p w14:paraId="66338344">
                      <w:pPr>
                        <w:jc w:val="center"/>
                      </w:pPr>
                      <w:r>
                        <w:rPr>
                          <w:rFonts w:hint="eastAsia"/>
                        </w:rPr>
                        <w:t>粘贴此处</w:t>
                      </w:r>
                    </w:p>
                  </w:txbxContent>
                </v:textbox>
              </v:rect>
            </w:pict>
          </mc:Fallback>
        </mc:AlternateContent>
      </w:r>
    </w:p>
    <w:p w14:paraId="308AB4A4">
      <w:pPr>
        <w:jc w:val="right"/>
        <w:rPr>
          <w:rFonts w:ascii="仿宋_GB2312" w:hAnsi="宋体" w:eastAsia="仿宋_GB2312"/>
          <w:color w:val="000000"/>
          <w:sz w:val="32"/>
          <w:szCs w:val="32"/>
        </w:rPr>
      </w:pPr>
    </w:p>
    <w:p w14:paraId="63C681EF">
      <w:pPr>
        <w:wordWrap w:val="0"/>
        <w:jc w:val="right"/>
        <w:rPr>
          <w:rFonts w:ascii="仿宋_GB2312" w:hAnsi="宋体" w:eastAsia="仿宋_GB2312"/>
          <w:color w:val="000000"/>
          <w:sz w:val="32"/>
          <w:szCs w:val="32"/>
          <w:u w:val="single"/>
        </w:rPr>
      </w:pPr>
    </w:p>
    <w:p w14:paraId="1DB07C48">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503DB3BF">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493C5A4A">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4F05DB9F">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7E896A">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17B4484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6FC3FDC0">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3368F79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23ACFE0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F6213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01C19C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6DDFB44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2AD4E26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7F2700DF">
      <w:pPr>
        <w:jc w:val="left"/>
        <w:rPr>
          <w:rFonts w:ascii="仿宋_GB2312" w:hAnsi="宋体" w:eastAsia="仿宋_GB2312"/>
          <w:color w:val="000000"/>
          <w:sz w:val="32"/>
          <w:szCs w:val="32"/>
        </w:rPr>
      </w:pPr>
    </w:p>
    <w:p w14:paraId="101F22ED">
      <w:pPr>
        <w:pStyle w:val="2"/>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40189269">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7A8660BB">
      <w:pPr>
        <w:ind w:firstLine="4960" w:firstLineChars="1550"/>
        <w:jc w:val="left"/>
        <w:rPr>
          <w:rFonts w:ascii="仿宋_GB2312" w:hAnsi="宋体" w:eastAsia="仿宋_GB2312"/>
          <w:color w:val="000000"/>
          <w:sz w:val="32"/>
          <w:szCs w:val="32"/>
        </w:rPr>
      </w:pPr>
    </w:p>
    <w:p w14:paraId="5DFB7469">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58E005E9">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4BA1478">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72278AA4">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2CB0A0C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2F956CFD">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454B72DF">
      <w:pPr>
        <w:pStyle w:val="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2590F2F5">
      <w:pPr>
        <w:pStyle w:val="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5E6BE150">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409265ED">
      <w:pPr>
        <w:pStyle w:val="2"/>
      </w:pPr>
    </w:p>
    <w:p w14:paraId="77F1EBFF">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6E8E44CC">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4B96CCBC">
      <w:pPr>
        <w:ind w:firstLine="4960" w:firstLineChars="1550"/>
        <w:jc w:val="left"/>
        <w:rPr>
          <w:rFonts w:ascii="仿宋_GB2312" w:hAnsi="宋体" w:eastAsia="仿宋_GB2312"/>
          <w:color w:val="000000"/>
          <w:sz w:val="32"/>
          <w:szCs w:val="32"/>
        </w:rPr>
      </w:pPr>
    </w:p>
    <w:p w14:paraId="46CA9F1C">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2AE34EA4">
      <w:pPr>
        <w:pStyle w:val="16"/>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19A7C">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14:paraId="1A95A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1658">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26ADF3">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87E89">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2098473B"/>
    <w:multiLevelType w:val="singleLevel"/>
    <w:tmpl w:val="2098473B"/>
    <w:lvl w:ilvl="0" w:tentative="0">
      <w:start w:val="1"/>
      <w:numFmt w:val="chineseCounting"/>
      <w:suff w:val="nothing"/>
      <w:lvlText w:val="%1、"/>
      <w:lvlJc w:val="left"/>
      <w:rPr>
        <w:rFonts w:hint="eastAsia"/>
      </w:rPr>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416AE8B3"/>
    <w:multiLevelType w:val="singleLevel"/>
    <w:tmpl w:val="416AE8B3"/>
    <w:lvl w:ilvl="0" w:tentative="0">
      <w:start w:val="3"/>
      <w:numFmt w:val="decimal"/>
      <w:suff w:val="nothing"/>
      <w:lvlText w:val="%1、"/>
      <w:lvlJc w:val="left"/>
    </w:lvl>
  </w:abstractNum>
  <w:abstractNum w:abstractNumId="7">
    <w:nsid w:val="55DFCF8B"/>
    <w:multiLevelType w:val="singleLevel"/>
    <w:tmpl w:val="55DFCF8B"/>
    <w:lvl w:ilvl="0" w:tentative="0">
      <w:start w:val="1"/>
      <w:numFmt w:val="decimal"/>
      <w:lvlText w:val="%1."/>
      <w:lvlJc w:val="left"/>
      <w:pPr>
        <w:tabs>
          <w:tab w:val="left" w:pos="312"/>
        </w:tabs>
      </w:pPr>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8"/>
  </w:num>
  <w:num w:numId="3">
    <w:abstractNumId w:val="2"/>
  </w:num>
  <w:num w:numId="4">
    <w:abstractNumId w:val="1"/>
  </w:num>
  <w:num w:numId="5">
    <w:abstractNumId w:val="0"/>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AB0CBE"/>
    <w:rsid w:val="07115D57"/>
    <w:rsid w:val="07480850"/>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0FB606D0"/>
    <w:rsid w:val="111B0067"/>
    <w:rsid w:val="114C35D9"/>
    <w:rsid w:val="11953DFF"/>
    <w:rsid w:val="11C31BE9"/>
    <w:rsid w:val="12A11F66"/>
    <w:rsid w:val="13BB55C9"/>
    <w:rsid w:val="13C5199E"/>
    <w:rsid w:val="14682D8B"/>
    <w:rsid w:val="16A35C46"/>
    <w:rsid w:val="170D04F7"/>
    <w:rsid w:val="17D81E85"/>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126EA7"/>
    <w:rsid w:val="278100C0"/>
    <w:rsid w:val="281A4847"/>
    <w:rsid w:val="288B4898"/>
    <w:rsid w:val="28AE7436"/>
    <w:rsid w:val="291C4279"/>
    <w:rsid w:val="2A7E0BB7"/>
    <w:rsid w:val="2A826BC7"/>
    <w:rsid w:val="2B0A7B44"/>
    <w:rsid w:val="2CC10CAE"/>
    <w:rsid w:val="2CED464A"/>
    <w:rsid w:val="2DD96E57"/>
    <w:rsid w:val="2EA25753"/>
    <w:rsid w:val="2ED21247"/>
    <w:rsid w:val="2F632DBF"/>
    <w:rsid w:val="30217C48"/>
    <w:rsid w:val="311B0235"/>
    <w:rsid w:val="31381024"/>
    <w:rsid w:val="31384F13"/>
    <w:rsid w:val="31827FC3"/>
    <w:rsid w:val="31E65232"/>
    <w:rsid w:val="32367AE2"/>
    <w:rsid w:val="33F956F6"/>
    <w:rsid w:val="351849C1"/>
    <w:rsid w:val="35235DD9"/>
    <w:rsid w:val="355D343E"/>
    <w:rsid w:val="35803DCD"/>
    <w:rsid w:val="358D0D69"/>
    <w:rsid w:val="359022EB"/>
    <w:rsid w:val="384A7AD5"/>
    <w:rsid w:val="3A3A4AA9"/>
    <w:rsid w:val="3A521274"/>
    <w:rsid w:val="3AD243FA"/>
    <w:rsid w:val="3B1111E4"/>
    <w:rsid w:val="3B2A4846"/>
    <w:rsid w:val="3B5373B6"/>
    <w:rsid w:val="3B677688"/>
    <w:rsid w:val="3C8F1C55"/>
    <w:rsid w:val="3CCF593D"/>
    <w:rsid w:val="3CF835F1"/>
    <w:rsid w:val="3DA0606C"/>
    <w:rsid w:val="3DEC493C"/>
    <w:rsid w:val="3E435AF0"/>
    <w:rsid w:val="3EC01209"/>
    <w:rsid w:val="3EDC78BB"/>
    <w:rsid w:val="3EEB7664"/>
    <w:rsid w:val="435D287E"/>
    <w:rsid w:val="44504B88"/>
    <w:rsid w:val="44B67130"/>
    <w:rsid w:val="456841B6"/>
    <w:rsid w:val="457B6881"/>
    <w:rsid w:val="4656733B"/>
    <w:rsid w:val="46710830"/>
    <w:rsid w:val="46BB2C0A"/>
    <w:rsid w:val="47552A75"/>
    <w:rsid w:val="486D7AF7"/>
    <w:rsid w:val="493C56B1"/>
    <w:rsid w:val="494804BB"/>
    <w:rsid w:val="495A2A50"/>
    <w:rsid w:val="4A2A20B9"/>
    <w:rsid w:val="4B4638AD"/>
    <w:rsid w:val="4B70660F"/>
    <w:rsid w:val="4B7C13C2"/>
    <w:rsid w:val="4B9C1C97"/>
    <w:rsid w:val="4BC500AA"/>
    <w:rsid w:val="4C1C5AD5"/>
    <w:rsid w:val="4FCE5CD6"/>
    <w:rsid w:val="4FF857B7"/>
    <w:rsid w:val="503F3FE4"/>
    <w:rsid w:val="512E578E"/>
    <w:rsid w:val="51412A8B"/>
    <w:rsid w:val="514F77D3"/>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60247155"/>
    <w:rsid w:val="603040BB"/>
    <w:rsid w:val="615523A0"/>
    <w:rsid w:val="61A05A1B"/>
    <w:rsid w:val="649D2897"/>
    <w:rsid w:val="64BF3E0B"/>
    <w:rsid w:val="64E26821"/>
    <w:rsid w:val="650A5D90"/>
    <w:rsid w:val="65207F71"/>
    <w:rsid w:val="65A45D9A"/>
    <w:rsid w:val="66016CC0"/>
    <w:rsid w:val="67C71CC5"/>
    <w:rsid w:val="695C7637"/>
    <w:rsid w:val="6A3805EE"/>
    <w:rsid w:val="6A67750E"/>
    <w:rsid w:val="6AC162F6"/>
    <w:rsid w:val="6BDA23AB"/>
    <w:rsid w:val="6BF3161E"/>
    <w:rsid w:val="6CD8518D"/>
    <w:rsid w:val="6ECA7999"/>
    <w:rsid w:val="6F7B0CA4"/>
    <w:rsid w:val="6F8E4227"/>
    <w:rsid w:val="6FEC0000"/>
    <w:rsid w:val="70201765"/>
    <w:rsid w:val="70E04A7D"/>
    <w:rsid w:val="70F03E6A"/>
    <w:rsid w:val="71345A2F"/>
    <w:rsid w:val="71B367CA"/>
    <w:rsid w:val="72AF20B0"/>
    <w:rsid w:val="73B95B82"/>
    <w:rsid w:val="73BA7E96"/>
    <w:rsid w:val="745F5922"/>
    <w:rsid w:val="75441CAA"/>
    <w:rsid w:val="77F35741"/>
    <w:rsid w:val="78481C82"/>
    <w:rsid w:val="78631DDC"/>
    <w:rsid w:val="78BC0632"/>
    <w:rsid w:val="78BE0AF1"/>
    <w:rsid w:val="792701E6"/>
    <w:rsid w:val="798E357B"/>
    <w:rsid w:val="79D27142"/>
    <w:rsid w:val="7A5F60DD"/>
    <w:rsid w:val="7A8647EE"/>
    <w:rsid w:val="7AFC68A2"/>
    <w:rsid w:val="7B655EDF"/>
    <w:rsid w:val="7BC97F92"/>
    <w:rsid w:val="7C6846EC"/>
    <w:rsid w:val="7CF966CC"/>
    <w:rsid w:val="7D0B50F4"/>
    <w:rsid w:val="7ED85B4B"/>
    <w:rsid w:val="7EEA09A6"/>
    <w:rsid w:val="7F12773D"/>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 Spacing"/>
    <w:basedOn w:val="1"/>
    <w:qFormat/>
    <w:uiPriority w:val="1"/>
    <w:pPr>
      <w:spacing w:after="0" w:line="400" w:lineRule="exact"/>
    </w:pPr>
    <w:rPr>
      <w:rFonts w:eastAsia="宋体"/>
      <w:sz w:val="24"/>
    </w:rPr>
  </w:style>
  <w:style w:type="paragraph" w:customStyle="1" w:styleId="17">
    <w:name w:val="Normal_3"/>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qFormat/>
    <w:uiPriority w:val="0"/>
    <w:rPr>
      <w:rFonts w:asciiTheme="minorHAnsi" w:hAnsiTheme="minorHAnsi" w:eastAsiaTheme="minorEastAsia" w:cstheme="minorBidi"/>
      <w:kern w:val="2"/>
      <w:sz w:val="18"/>
      <w:szCs w:val="18"/>
    </w:rPr>
  </w:style>
  <w:style w:type="paragraph" w:styleId="19">
    <w:name w:val="List Paragraph"/>
    <w:basedOn w:val="1"/>
    <w:qFormat/>
    <w:uiPriority w:val="99"/>
    <w:pPr>
      <w:ind w:firstLine="420" w:firstLineChars="200"/>
    </w:pPr>
  </w:style>
  <w:style w:type="character" w:customStyle="1" w:styleId="20">
    <w:name w:val="hover15"/>
    <w:basedOn w:val="12"/>
    <w:qFormat/>
    <w:uiPriority w:val="0"/>
  </w:style>
  <w:style w:type="paragraph" w:customStyle="1" w:styleId="21">
    <w:name w:val="无间隔1"/>
    <w:basedOn w:val="1"/>
    <w:qFormat/>
    <w:uiPriority w:val="1"/>
    <w:pPr>
      <w:spacing w:line="400" w:lineRule="exact"/>
    </w:pPr>
    <w:rPr>
      <w:rFonts w:ascii="Calibri" w:hAnsi="Calibri"/>
      <w:sz w:val="24"/>
      <w:szCs w:val="22"/>
    </w:rPr>
  </w:style>
  <w:style w:type="character" w:customStyle="1" w:styleId="22">
    <w:name w:val="font21"/>
    <w:basedOn w:val="12"/>
    <w:qFormat/>
    <w:uiPriority w:val="0"/>
    <w:rPr>
      <w:rFonts w:hint="eastAsia" w:ascii="宋体" w:hAnsi="宋体" w:eastAsia="宋体" w:cs="宋体"/>
      <w:color w:val="FF0000"/>
      <w:sz w:val="24"/>
      <w:szCs w:val="24"/>
      <w:u w:val="none"/>
    </w:rPr>
  </w:style>
  <w:style w:type="character" w:customStyle="1" w:styleId="23">
    <w:name w:val="font61"/>
    <w:basedOn w:val="12"/>
    <w:qFormat/>
    <w:uiPriority w:val="0"/>
    <w:rPr>
      <w:rFonts w:hint="eastAsia" w:ascii="宋体" w:hAnsi="宋体" w:eastAsia="宋体" w:cs="宋体"/>
      <w:color w:val="000000"/>
      <w:sz w:val="18"/>
      <w:szCs w:val="18"/>
      <w:u w:val="none"/>
    </w:rPr>
  </w:style>
  <w:style w:type="character" w:customStyle="1" w:styleId="24">
    <w:name w:val="font91"/>
    <w:basedOn w:val="12"/>
    <w:qFormat/>
    <w:uiPriority w:val="0"/>
    <w:rPr>
      <w:rFonts w:hint="eastAsia" w:ascii="宋体" w:hAnsi="宋体" w:eastAsia="宋体" w:cs="宋体"/>
      <w:color w:val="FF0000"/>
      <w:sz w:val="18"/>
      <w:szCs w:val="18"/>
      <w:u w:val="none"/>
    </w:rPr>
  </w:style>
  <w:style w:type="character" w:customStyle="1" w:styleId="25">
    <w:name w:val="font112"/>
    <w:basedOn w:val="12"/>
    <w:qFormat/>
    <w:uiPriority w:val="0"/>
    <w:rPr>
      <w:rFonts w:hint="eastAsia" w:ascii="宋体" w:hAnsi="宋体" w:eastAsia="宋体" w:cs="宋体"/>
      <w:color w:val="000000"/>
      <w:sz w:val="18"/>
      <w:szCs w:val="18"/>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41"/>
    <w:basedOn w:val="12"/>
    <w:qFormat/>
    <w:uiPriority w:val="0"/>
    <w:rPr>
      <w:rFonts w:hint="eastAsia" w:ascii="宋体" w:hAnsi="宋体" w:eastAsia="宋体" w:cs="宋体"/>
      <w:b/>
      <w:bCs/>
      <w:color w:val="FF0000"/>
      <w:sz w:val="22"/>
      <w:szCs w:val="22"/>
      <w:u w:val="none"/>
    </w:rPr>
  </w:style>
  <w:style w:type="character" w:customStyle="1" w:styleId="28">
    <w:name w:val="font51"/>
    <w:basedOn w:val="12"/>
    <w:qFormat/>
    <w:uiPriority w:val="0"/>
    <w:rPr>
      <w:rFonts w:hint="eastAsia" w:ascii="宋体" w:hAnsi="宋体" w:eastAsia="宋体" w:cs="宋体"/>
      <w:color w:val="FF0000"/>
      <w:sz w:val="22"/>
      <w:szCs w:val="22"/>
      <w:u w:val="none"/>
    </w:rPr>
  </w:style>
  <w:style w:type="character" w:customStyle="1" w:styleId="29">
    <w:name w:val="font31"/>
    <w:basedOn w:val="12"/>
    <w:qFormat/>
    <w:uiPriority w:val="0"/>
    <w:rPr>
      <w:rFonts w:hint="eastAsia" w:ascii="宋体" w:hAnsi="宋体" w:eastAsia="宋体" w:cs="宋体"/>
      <w:b/>
      <w:bCs/>
      <w:color w:val="000000"/>
      <w:sz w:val="22"/>
      <w:szCs w:val="22"/>
      <w:u w:val="none"/>
    </w:rPr>
  </w:style>
  <w:style w:type="character" w:customStyle="1" w:styleId="30">
    <w:name w:val="font11"/>
    <w:basedOn w:val="12"/>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271</Words>
  <Characters>275</Characters>
  <Lines>55</Lines>
  <Paragraphs>15</Paragraphs>
  <TotalTime>0</TotalTime>
  <ScaleCrop>false</ScaleCrop>
  <LinksUpToDate>false</LinksUpToDate>
  <CharactersWithSpaces>297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  柚子茶</cp:lastModifiedBy>
  <cp:lastPrinted>2023-11-28T00:38:00Z</cp:lastPrinted>
  <dcterms:modified xsi:type="dcterms:W3CDTF">2025-04-14T07:09:27Z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493DB46D37854FBB97BA6C655364FCA7</vt:lpwstr>
  </property>
  <property fmtid="{D5CDD505-2E9C-101B-9397-08002B2CF9AE}" pid="4" name="KSOTemplateDocerSaveRecord">
    <vt:lpwstr>eyJoZGlkIjoiYWU1NDNmY2IxYmMyMzRjZjA2YTM3NGEzN2VhMTM1N2YiLCJ1c2VySWQiOiI4OTgwMjI2MDkifQ==</vt:lpwstr>
  </property>
</Properties>
</file>