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77BF83F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大型设备校准检定服务采购项目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2024年12月19日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大型设备校准检定服务采购项目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大型设备校准检定服务采购项目</w:t>
      </w:r>
      <w:r>
        <w:rPr>
          <w:rFonts w:hint="eastAsia" w:ascii="仿宋_GB2312" w:eastAsia="仿宋_GB2312"/>
          <w:sz w:val="32"/>
          <w:szCs w:val="32"/>
        </w:rPr>
        <w:t>。</w:t>
      </w:r>
    </w:p>
    <w:p w14:paraId="7426DB27">
      <w:pPr>
        <w:keepNext w:val="0"/>
        <w:keepLines w:val="0"/>
        <w:pageBreakBefore w:val="0"/>
        <w:numPr>
          <w:ilvl w:val="0"/>
          <w:numId w:val="4"/>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14:paraId="61655ADB">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 对我院2台磁共振、1台口腔CT、1台牙片机、1台移动C臂、1台胃肠机、1台骨密度、1台直线加速器进行校准检定。 </w:t>
      </w:r>
    </w:p>
    <w:p w14:paraId="6FE72F9A">
      <w:pPr>
        <w:pStyle w:val="21"/>
        <w:keepNext w:val="0"/>
        <w:keepLines w:val="0"/>
        <w:pageBreakBefore w:val="0"/>
        <w:kinsoku/>
        <w:wordWrap/>
        <w:overflowPunct/>
        <w:topLinePunct w:val="0"/>
        <w:autoSpaceDE/>
        <w:autoSpaceDN/>
        <w:bidi w:val="0"/>
        <w:snapToGrid/>
        <w:spacing w:line="578" w:lineRule="exact"/>
        <w:ind w:firstLine="640" w:firstLineChars="200"/>
        <w:textAlignment w:val="auto"/>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供应商须具备在有效期内的CNAS证书（中国合格评定国家认可委员会实验室认可证书）、有效期内的国家市场监督管理总局或省级市场监督管理部门颁发的CMA证书（检验检测机构资质认定证书）以及乙级以上（含乙级）的《放射卫生技术服务机构资质证书》</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508E1F3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原件及复印件一份，授权委托书以及被授权人身份证及资质证书。</w:t>
      </w:r>
    </w:p>
    <w:p w14:paraId="6F687E06">
      <w:pPr>
        <w:pStyle w:val="15"/>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bookmarkStart w:id="15" w:name="_GoBack"/>
      <w:bookmarkEnd w:id="15"/>
    </w:p>
    <w:p w14:paraId="3783EE51">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631BA140">
            <w:pPr>
              <w:pStyle w:val="15"/>
              <w:numPr>
                <w:ilvl w:val="0"/>
                <w:numId w:val="0"/>
              </w:numPr>
              <w:rPr>
                <w:rFonts w:hint="default"/>
                <w:lang w:val="en-US" w:eastAsia="zh-CN"/>
              </w:rPr>
            </w:pPr>
            <w:r>
              <w:rPr>
                <w:rFonts w:hint="eastAsia"/>
                <w:lang w:val="en-US" w:eastAsia="zh-CN"/>
              </w:rPr>
              <w:t>根据服务方案在0-40分范围内打分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人员资质、公司实力</w:t>
            </w:r>
            <w:r>
              <w:rPr>
                <w:rFonts w:hint="eastAsia" w:ascii="宋体" w:hAnsi="宋体" w:cs="宋体"/>
                <w:color w:val="000000" w:themeColor="text1"/>
                <w:kern w:val="0"/>
                <w:szCs w:val="21"/>
                <w:lang w:val="en-US" w:eastAsia="zh-CN"/>
                <w14:textFill>
                  <w14:solidFill>
                    <w14:schemeClr w14:val="tx1"/>
                  </w14:solidFill>
                </w14:textFill>
              </w:rPr>
              <w:t>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20</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33879B52">
      <w:pPr>
        <w:pStyle w:val="15"/>
        <w:rPr>
          <w:rFonts w:hint="eastAsia" w:ascii="黑体" w:hAnsi="黑体" w:eastAsia="黑体" w:cs="黑体"/>
          <w:sz w:val="32"/>
          <w:szCs w:val="32"/>
          <w:lang w:eastAsia="zh-CN"/>
        </w:rPr>
      </w:pPr>
    </w:p>
    <w:p w14:paraId="3D81A75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7"/>
        <w:gridCol w:w="3717"/>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627"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17"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627" w:type="dxa"/>
            <w:vAlign w:val="center"/>
          </w:tcPr>
          <w:p w14:paraId="50012D38">
            <w:pPr>
              <w:jc w:val="center"/>
              <w:rPr>
                <w:rFonts w:ascii="仿宋" w:hAnsi="仿宋" w:eastAsia="仿宋"/>
                <w:b/>
                <w:color w:val="C00000"/>
                <w:sz w:val="22"/>
                <w:szCs w:val="21"/>
              </w:rPr>
            </w:pPr>
          </w:p>
        </w:tc>
        <w:tc>
          <w:tcPr>
            <w:tcW w:w="3717"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627"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17"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627"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17"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627"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17"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627"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17"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627" w:type="dxa"/>
            <w:vAlign w:val="center"/>
          </w:tcPr>
          <w:p w14:paraId="3C9DE34E">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717"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627" w:type="dxa"/>
            <w:tcBorders>
              <w:top w:val="single" w:color="auto" w:sz="4" w:space="0"/>
              <w:bottom w:val="single" w:color="auto" w:sz="4" w:space="0"/>
            </w:tcBorders>
            <w:vAlign w:val="center"/>
          </w:tcPr>
          <w:p w14:paraId="1CC1B4FC">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717"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627"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717"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627"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717"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B6D4096">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38C8E772">
      <w:pPr>
        <w:pStyle w:val="15"/>
        <w:rPr>
          <w:rFonts w:ascii="仿宋_GB2312" w:eastAsia="仿宋_GB2312"/>
          <w:color w:val="000000"/>
          <w:sz w:val="28"/>
          <w:szCs w:val="28"/>
        </w:rPr>
      </w:pPr>
    </w:p>
    <w:p w14:paraId="6604C604">
      <w:pPr>
        <w:pStyle w:val="15"/>
        <w:rPr>
          <w:rFonts w:ascii="仿宋_GB2312" w:eastAsia="仿宋_GB2312"/>
          <w:color w:val="000000"/>
          <w:sz w:val="28"/>
          <w:szCs w:val="28"/>
        </w:rPr>
      </w:pPr>
    </w:p>
    <w:p w14:paraId="5F636DA6">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33636"/>
      <w:bookmarkStart w:id="1" w:name="_Toc248896063"/>
      <w:bookmarkStart w:id="2" w:name="_Toc9548"/>
      <w:bookmarkStart w:id="3" w:name="_Toc10762"/>
      <w:bookmarkStart w:id="4" w:name="_Toc15313"/>
      <w:bookmarkStart w:id="5" w:name="_Toc337554724"/>
      <w:bookmarkStart w:id="6" w:name="_Toc337475854"/>
      <w:bookmarkStart w:id="7" w:name="_Toc219626747"/>
      <w:bookmarkStart w:id="8" w:name="_Toc304219257"/>
      <w:bookmarkStart w:id="9" w:name="_Toc320878640"/>
      <w:bookmarkStart w:id="10" w:name="_Toc258360158"/>
      <w:bookmarkStart w:id="11" w:name="_Toc17030"/>
      <w:bookmarkStart w:id="12" w:name="_Toc261708863"/>
      <w:bookmarkStart w:id="13" w:name="_Toc258360269"/>
      <w:bookmarkStart w:id="14" w:name="_Toc25835414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36906267">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0B0F768F">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300F01"/>
    <w:rsid w:val="06770B09"/>
    <w:rsid w:val="06AB0CBE"/>
    <w:rsid w:val="07115D57"/>
    <w:rsid w:val="07480850"/>
    <w:rsid w:val="07846919"/>
    <w:rsid w:val="07A779E9"/>
    <w:rsid w:val="08492771"/>
    <w:rsid w:val="084F6178"/>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0F5A66F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8FE6294"/>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5373B6"/>
    <w:rsid w:val="3B677688"/>
    <w:rsid w:val="3B942616"/>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AF423C3"/>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8184196"/>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2B839FB"/>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1633</Words>
  <Characters>1759</Characters>
  <Lines>55</Lines>
  <Paragraphs>15</Paragraphs>
  <TotalTime>690</TotalTime>
  <ScaleCrop>false</ScaleCrop>
  <LinksUpToDate>false</LinksUpToDate>
  <CharactersWithSpaces>1818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2024-12-31T08:21:23Z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y fmtid="{D5CDD505-2E9C-101B-9397-08002B2CF9AE}" pid="4" name="KSOTemplateDocerSaveRecord">
    <vt:lpwstr>eyJoZGlkIjoiOGEyMThhM2Q3MGZmZjNkNjhhYzMwMTlhMjU3NTQzZTIifQ==</vt:lpwstr>
  </property>
</Properties>
</file>