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24年第一批新进医用耗材采购项目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6"/>
        <w:rPr>
          <w:rFonts w:hint="eastAsia"/>
        </w:rPr>
      </w:pPr>
    </w:p>
    <w:p>
      <w:pPr>
        <w:pStyle w:val="16"/>
        <w:rPr>
          <w:rFonts w:hint="eastAsia"/>
        </w:rPr>
      </w:pPr>
    </w:p>
    <w:p>
      <w:pPr>
        <w:pStyle w:val="16"/>
        <w:rPr>
          <w:rFonts w:hint="eastAsia"/>
        </w:rPr>
      </w:pPr>
    </w:p>
    <w:p>
      <w:pPr>
        <w:jc w:val="center"/>
        <w:rPr>
          <w:rFonts w:ascii="黑体" w:hAnsi="黑体" w:eastAsia="黑体" w:cs="黑体"/>
          <w:sz w:val="52"/>
          <w:szCs w:val="52"/>
        </w:rPr>
      </w:pPr>
    </w:p>
    <w:p>
      <w:pPr>
        <w:pStyle w:val="16"/>
        <w:rPr>
          <w:rFonts w:ascii="黑体" w:hAnsi="黑体" w:eastAsia="黑体" w:cs="黑体"/>
          <w:sz w:val="52"/>
          <w:szCs w:val="52"/>
        </w:rPr>
      </w:pPr>
    </w:p>
    <w:p>
      <w:pPr>
        <w:pStyle w:val="16"/>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6"/>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2024年6月28日</w:t>
      </w:r>
    </w:p>
    <w:p>
      <w:pPr>
        <w:pStyle w:val="16"/>
        <w:rPr>
          <w:rFonts w:hint="eastAsia"/>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p>
    <w:p>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6"/>
      </w:pPr>
    </w:p>
    <w:p>
      <w:pPr>
        <w:rPr>
          <w:rFonts w:ascii="黑体" w:hAnsi="黑体" w:eastAsia="黑体" w:cs="黑体"/>
          <w:sz w:val="32"/>
          <w:szCs w:val="32"/>
        </w:rPr>
      </w:pPr>
    </w:p>
    <w:p>
      <w:pPr>
        <w:pStyle w:val="16"/>
        <w:rPr>
          <w:rFonts w:ascii="黑体" w:hAnsi="黑体" w:eastAsia="黑体" w:cs="黑体"/>
          <w:sz w:val="32"/>
          <w:szCs w:val="32"/>
        </w:rPr>
      </w:pPr>
    </w:p>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24年第一批新进医用耗材采购项目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24年第一批新进医用耗材采购项目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3259"/>
        <w:gridCol w:w="5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序号</w:t>
            </w:r>
          </w:p>
        </w:tc>
        <w:tc>
          <w:tcPr>
            <w:tcW w:w="3259"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产品名称</w:t>
            </w:r>
          </w:p>
        </w:tc>
        <w:tc>
          <w:tcPr>
            <w:tcW w:w="5150" w:type="dxa"/>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黑体" w:eastAsia="黑体"/>
                <w:sz w:val="32"/>
                <w:szCs w:val="32"/>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百日咳杆菌核酸检测试剂盒(PCR-荧光探针法)</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用于体外定性检测18岁以下人群的口咽拭子或鼻咽拭子样本中百日咳杆菌核酸。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经皮肾镜系统-经皮肾镜穿刺套装</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适用于经皮进行肾脏部位的观察、诊断和手术。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微创扩张引流套件</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用于经皮肾手术时建立通道，扩张、引流用。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一次性使用密闭式吸痰管</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全身麻醉手术患者或危重患者的抢救和气管插管、气切套管长期机械通气患者吸痰使用。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超声手术系统附件--超声骨刀刀头</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用于骨科手术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颈部固定器</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用于多发伤及外伤患者围手术期肢体固定（特殊部位骨折脱位需外固定）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363636"/>
                <w:kern w:val="0"/>
                <w:sz w:val="18"/>
                <w:szCs w:val="18"/>
                <w:u w:val="none"/>
                <w:lang w:val="en-US" w:eastAsia="zh-CN" w:bidi="ar"/>
              </w:rPr>
              <w:t>一次性使用宫颈扩张用模具</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供临床妇产科宫腔诊查前的子宫颈扩张用。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363636"/>
                <w:kern w:val="0"/>
                <w:sz w:val="18"/>
                <w:szCs w:val="18"/>
                <w:u w:val="none"/>
                <w:lang w:val="en-US" w:eastAsia="zh-CN" w:bidi="ar"/>
              </w:rPr>
              <w:t>冠脉刻痕球囊扩张导管</w:t>
            </w:r>
          </w:p>
        </w:tc>
        <w:tc>
          <w:tcPr>
            <w:tcW w:w="5150"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用于成人患者PCI（经皮冠状动脉介入治疗）中植入支架或使用球囊前，对血管狭窄病变进行预扩张处理。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一次性血管造影手术包</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用于医疗机构血管造影手术时使用。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配置清单：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1.一次性治疗碗*3个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2.一次性方盆*2个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3.一次性药杯*3个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4.一次性纱布垫*2块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5.纱布*20块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6.一次性治疗巾*4块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7.一次性洞巾*1块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8.一次性中腹单*1块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9.机器保护套*5个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10.一次性弯盘*2个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11.一次性镊子*1个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12.一次性止血钳*1个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喷剂敷料</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鼻内窥镜术后防止囊泡再生，防复发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喷剂敷料</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通过在创面表面形成保护层，起物理屏障作用。用于浅表性创面及周围皮肤的护理。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矫正用耳模型</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该产品通过对异位耳复合组织的再塑，改善婴幼儿耳畸形。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人工骨浆、骨粒</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适用于非承重性骨缺损的填充。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神经和肌肉刺激器用体表电极</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用于皮肤表面，将电疗设备输出的电刺激信号通过导电材料传导到人体。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一次性牵开固定器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用于神经外科手术，在手术过程中提供一个工作通道并达到可视化的一次性使用组织固定系统的器械。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一次性球囊引流导管</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适用于脑血肿腔、脑肿瘤腔、侧脑室的引流。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脊髓神经刺激测试电极</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与适配的体外测试刺激器、程控仪和多电极测试电缆配合使用，在体验治疗期(一般为2周左右)，供18周岁及以上患者使用（孕妇除外），用于评估脊髓神经刺激系统对于躯干、四肢的慢性顽固性疼痛的治疗效果。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3259"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363636"/>
                <w:kern w:val="0"/>
                <w:sz w:val="18"/>
                <w:szCs w:val="18"/>
                <w:u w:val="none"/>
                <w:lang w:val="en-US" w:eastAsia="zh-CN" w:bidi="ar"/>
              </w:rPr>
              <w:t>一次性使用输血器</w:t>
            </w:r>
          </w:p>
        </w:tc>
        <w:tc>
          <w:tcPr>
            <w:tcW w:w="5150" w:type="dxa"/>
            <w:vMerge w:val="restart"/>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用于免疫三氧血回输治疗，与普朗医用臭氧机配套使用。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一次性使用塑料血袋</w:t>
            </w:r>
          </w:p>
        </w:tc>
        <w:tc>
          <w:tcPr>
            <w:tcW w:w="5150" w:type="dxa"/>
            <w:vMerge w:val="continue"/>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一次性使用麻醉用空气过滤器</w:t>
            </w:r>
          </w:p>
        </w:tc>
        <w:tc>
          <w:tcPr>
            <w:tcW w:w="5150" w:type="dxa"/>
            <w:vMerge w:val="continue"/>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3259"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一次性使用配药用注射器</w:t>
            </w:r>
          </w:p>
        </w:tc>
        <w:tc>
          <w:tcPr>
            <w:tcW w:w="5150" w:type="dxa"/>
            <w:vMerge w:val="continue"/>
          </w:tcPr>
          <w:p>
            <w:pPr>
              <w:pStyle w:val="16"/>
              <w:keepNext w:val="0"/>
              <w:keepLines w:val="0"/>
              <w:pageBreakBefore w:val="0"/>
              <w:kinsoku/>
              <w:wordWrap/>
              <w:overflowPunct/>
              <w:topLinePunct w:val="0"/>
              <w:autoSpaceDE/>
              <w:autoSpaceDN/>
              <w:bidi w:val="0"/>
              <w:snapToGrid/>
              <w:spacing w:line="560" w:lineRule="exact"/>
              <w:jc w:val="center"/>
              <w:textAlignment w:val="auto"/>
              <w:outlineLvl w:val="9"/>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一次性使用射频套管</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用于缓解疼痛治疗的射频毁损手术。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一次性使用人体动脉血样采集器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适用于动脉血样的采集和贮存，所采集血样供血气分析。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一次性使用呼出气体吸收过滤器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与麻醉呼吸设备配套使用，供降低患者呼出气体中的微粒数量，吸收患者呼出气体中的二氧化碳。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一次性麻醉呼吸过滤器套件</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用于与麻醉机、呼吸机、潮化器、喷雾器配套使用，为病人建立一个呼吸连接通道。包含麻醉机和呼吸机用呼吸管路、一次性使用湿热交换过滤器、麻醉面罩等。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一次性使用泵用输液器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与输液泵配合使用，用于静脉输液。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一次性使用微量泵前管</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适用于在注射泵输液中延长液体输注的路径。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一次性使用泵用注射器</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与注射泵配套使用，供抽吸液体或在注入液体后立即注射。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一次性视角可调可视喉罩</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适用于打开并密封上喉部，在进行自主、辅助或控制通气时，在患者体内提供一个气体通道，同时具备对食道和胃内容物的引流作用并且在需要时能经喉罩完成气管插管。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一次性呼气末二氧化碳采集吸氧面罩</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与医用氧气源及呼气末二氧化碳监测设备连接，用于患者吸氧，同时传输呼气末二氧化碳至监测设备。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引流袋</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用于向外引出并收集体内液体。与插入体内的引流导管相连接的体外液路和容器，为负压引流。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医用手术薄膜</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供临床手术切口时保护皮肤防止交叉感染用。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可吸收性外科缝线</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用于人体软组织的缝合或结扎。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3259" w:type="dxa"/>
            <w:vAlign w:val="center"/>
          </w:tcPr>
          <w:p>
            <w:pPr>
              <w:keepNext w:val="0"/>
              <w:keepLines w:val="0"/>
              <w:widowControl/>
              <w:suppressLineNumbers w:val="0"/>
              <w:jc w:val="center"/>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碘酒消毒液</w:t>
            </w:r>
          </w:p>
        </w:tc>
        <w:tc>
          <w:tcPr>
            <w:tcW w:w="5150" w:type="dxa"/>
            <w:vAlign w:val="center"/>
          </w:tcPr>
          <w:p>
            <w:pPr>
              <w:keepNext w:val="0"/>
              <w:keepLines w:val="0"/>
              <w:widowControl/>
              <w:suppressLineNumbers w:val="0"/>
              <w:jc w:val="left"/>
              <w:textAlignment w:val="center"/>
              <w:rPr>
                <w:rFonts w:hint="eastAsia" w:ascii="黑体" w:eastAsia="黑体"/>
                <w:sz w:val="32"/>
                <w:szCs w:val="32"/>
                <w:vertAlign w:val="baseline"/>
                <w:lang w:val="en-US" w:eastAsia="zh-CN"/>
              </w:rPr>
            </w:pPr>
            <w:r>
              <w:rPr>
                <w:rFonts w:hint="eastAsia" w:ascii="宋体" w:hAnsi="宋体" w:eastAsia="宋体" w:cs="宋体"/>
                <w:i w:val="0"/>
                <w:iCs w:val="0"/>
                <w:color w:val="000000"/>
                <w:kern w:val="0"/>
                <w:sz w:val="18"/>
                <w:szCs w:val="18"/>
                <w:u w:val="none"/>
                <w:lang w:val="en-US" w:eastAsia="zh-CN" w:bidi="ar"/>
              </w:rPr>
              <w:t>以碘与乙醇为主要有效成分的消毒液，有效碘含量为1.0%±0.1%（W/V)，乙醇含量为30.0%±3.0%（V/V)。规格：500ml/瓶</w:t>
            </w:r>
          </w:p>
        </w:tc>
      </w:tr>
    </w:tbl>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黑体" w:eastAsia="黑体"/>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详细要求参照磋商文件第三章合同条款</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17</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16"/>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pPr>
        <w:pStyle w:val="16"/>
        <w:rPr>
          <w:rFonts w:hint="default" w:ascii="仿宋_GB2312" w:eastAsia="仿宋_GB2312"/>
          <w:b/>
          <w:sz w:val="32"/>
          <w:szCs w:val="32"/>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16"/>
              <w:numPr>
                <w:ilvl w:val="0"/>
                <w:numId w:val="7"/>
              </w:numPr>
              <w:rPr>
                <w:rFonts w:hint="eastAsia"/>
                <w:lang w:val="en-US" w:eastAsia="zh-CN"/>
              </w:rPr>
            </w:pPr>
            <w:r>
              <w:rPr>
                <w:rFonts w:hint="eastAsia"/>
                <w:lang w:val="en-US" w:eastAsia="zh-CN"/>
              </w:rPr>
              <w:t>根据产品的售后方案在0-5分范围内进行打分</w:t>
            </w:r>
          </w:p>
          <w:p>
            <w:pPr>
              <w:pStyle w:val="16"/>
              <w:numPr>
                <w:ilvl w:val="0"/>
                <w:numId w:val="7"/>
              </w:numPr>
              <w:rPr>
                <w:rFonts w:hint="eastAsia"/>
                <w:lang w:val="en-US" w:eastAsia="zh-CN"/>
              </w:rPr>
            </w:pPr>
            <w:r>
              <w:rPr>
                <w:rFonts w:hint="eastAsia"/>
                <w:lang w:val="en-US" w:eastAsia="zh-CN"/>
              </w:rPr>
              <w:t>根据其他优惠条件在0-10分范围内打分</w:t>
            </w:r>
          </w:p>
        </w:tc>
      </w:tr>
    </w:tbl>
    <w:p>
      <w:pPr>
        <w:pStyle w:val="16"/>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pStyle w:val="16"/>
        <w:rPr>
          <w:rFonts w:hint="eastAsia" w:ascii="仿宋" w:hAnsi="仿宋" w:eastAsia="仿宋" w:cs="仿宋"/>
          <w:spacing w:val="4"/>
          <w:sz w:val="24"/>
        </w:rPr>
      </w:pPr>
    </w:p>
    <w:p>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16"/>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pStyle w:val="16"/>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pStyle w:val="16"/>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320878640"/>
      <w:bookmarkStart w:id="2" w:name="_Toc258360269"/>
      <w:bookmarkStart w:id="3" w:name="_Toc10762"/>
      <w:bookmarkStart w:id="4" w:name="_Toc248896063"/>
      <w:bookmarkStart w:id="5" w:name="_Toc9548"/>
      <w:bookmarkStart w:id="6" w:name="_Toc219626747"/>
      <w:bookmarkStart w:id="7" w:name="_Toc258354146"/>
      <w:bookmarkStart w:id="8" w:name="_Toc17030"/>
      <w:bookmarkStart w:id="9" w:name="_Toc15313"/>
      <w:bookmarkStart w:id="10" w:name="_Toc261708863"/>
      <w:bookmarkStart w:id="11" w:name="_Toc337475854"/>
      <w:bookmarkStart w:id="12" w:name="_Toc304219257"/>
      <w:bookmarkStart w:id="13" w:name="_Toc337554724"/>
      <w:bookmarkStart w:id="14" w:name="_Toc25836015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pStyle w:val="16"/>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16"/>
        <w:rPr>
          <w:rFonts w:ascii="方正小标宋简体" w:eastAsia="方正小标宋简体"/>
          <w:color w:val="000000"/>
          <w:sz w:val="44"/>
          <w:szCs w:val="44"/>
        </w:rPr>
      </w:pPr>
    </w:p>
    <w:p>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15"/>
        <w:gridCol w:w="1245"/>
        <w:gridCol w:w="690"/>
        <w:gridCol w:w="465"/>
        <w:gridCol w:w="2460"/>
        <w:gridCol w:w="2040"/>
        <w:gridCol w:w="1995"/>
        <w:gridCol w:w="1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2777"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303"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pPr>
        <w:pStyle w:val="16"/>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6"/>
        <w:rPr>
          <w:rFonts w:ascii="黑体" w:eastAsia="黑体"/>
          <w:color w:val="000000"/>
          <w:sz w:val="32"/>
          <w:szCs w:val="32"/>
        </w:rPr>
      </w:pPr>
    </w:p>
    <w:p>
      <w:pPr>
        <w:pStyle w:val="16"/>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1024"/>
    <w:rsid w:val="31384F13"/>
    <w:rsid w:val="31827FC3"/>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8744</Words>
  <Characters>9006</Characters>
  <Lines>55</Lines>
  <Paragraphs>15</Paragraphs>
  <TotalTime>15</TotalTime>
  <ScaleCrop>false</ScaleCrop>
  <LinksUpToDate>false</LinksUpToDate>
  <CharactersWithSpaces>9864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2023-11-28T00:38:00Z</cp:lastPrinted>
  <dcterms:modified xsi:type="dcterms:W3CDTF">2024-07-11T01:30:07Z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