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空调系统设备、管网维修保养项目</w:t>
      </w:r>
    </w:p>
    <w:p>
      <w:pPr>
        <w:jc w:val="center"/>
        <w:rPr>
          <w:rFonts w:ascii="黑体" w:hAnsi="黑体" w:eastAsia="黑体" w:cs="黑体"/>
          <w:sz w:val="52"/>
          <w:szCs w:val="52"/>
        </w:rPr>
      </w:pPr>
      <w:r>
        <w:rPr>
          <w:rFonts w:hint="eastAsia" w:ascii="黑体" w:hAnsi="黑体" w:eastAsia="黑体" w:cs="黑体"/>
          <w:sz w:val="52"/>
          <w:szCs w:val="52"/>
          <w:lang w:val="en-US"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pStyle w:val="2"/>
        <w:rPr>
          <w:rFonts w:hint="eastAsia"/>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2024年5月21日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科室确认：</w:t>
      </w: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空调系统设备、管网维修保养项目</w:t>
      </w:r>
      <w:r>
        <w:rPr>
          <w:rFonts w:hint="eastAsia" w:ascii="仿宋_GB2312" w:eastAsia="仿宋_GB2312"/>
          <w:sz w:val="32"/>
          <w:szCs w:val="32"/>
          <w:lang w:eastAsia="zh-CN"/>
        </w:rPr>
        <w:t>，具体事宜公布如下：</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一、项目名称</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lang w:val="en-US" w:eastAsia="zh-CN"/>
        </w:rPr>
        <w:t>空调系统设备、管网维修保养项目</w:t>
      </w:r>
      <w:r>
        <w:rPr>
          <w:rFonts w:hint="eastAsia" w:ascii="仿宋_GB2312" w:eastAsia="仿宋_GB2312"/>
          <w:sz w:val="32"/>
          <w:szCs w:val="32"/>
        </w:rPr>
        <w:t>。</w:t>
      </w:r>
    </w:p>
    <w:p>
      <w:pPr>
        <w:keepNext w:val="0"/>
        <w:keepLines w:val="0"/>
        <w:pageBreakBefore w:val="0"/>
        <w:numPr>
          <w:ilvl w:val="0"/>
          <w:numId w:val="4"/>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lang w:val="en-US" w:eastAsia="zh-CN"/>
        </w:rPr>
      </w:pPr>
      <w:r>
        <w:rPr>
          <w:rFonts w:hint="eastAsia" w:ascii="黑体" w:eastAsia="黑体"/>
          <w:sz w:val="32"/>
          <w:szCs w:val="32"/>
        </w:rPr>
        <w:t>项目概况</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项目要求：</w:t>
      </w:r>
      <w:r>
        <w:rPr>
          <w:rFonts w:hint="eastAsia" w:ascii="仿宋_GB2312" w:hAnsi="Calibri" w:eastAsia="仿宋_GB2312" w:cs="Times New Roman"/>
          <w:kern w:val="2"/>
          <w:sz w:val="32"/>
          <w:szCs w:val="32"/>
          <w:lang w:val="en-US" w:eastAsia="zh-CN" w:bidi="ar-SA"/>
        </w:rPr>
        <w:t>对我院风冷模块机组18台、净化空调机组33台、新风机组54台、精密空调机组6台、多联机11台、中央空调机组特灵品牌CVHG地源热泵离心机3台（</w:t>
      </w:r>
      <w:r>
        <w:rPr>
          <w:rFonts w:hint="eastAsia" w:ascii="仿宋_GB2312" w:hAnsi="Calibri" w:eastAsia="仿宋_GB2312" w:cs="Times New Roman"/>
          <w:kern w:val="2"/>
          <w:sz w:val="32"/>
          <w:szCs w:val="32"/>
          <w:highlight w:val="yellow"/>
          <w:lang w:val="en-US" w:eastAsia="zh-CN" w:bidi="ar-SA"/>
        </w:rPr>
        <w:t>特灵品牌离心机维修保养必须使用原厂配件</w:t>
      </w:r>
      <w:r>
        <w:rPr>
          <w:rFonts w:hint="eastAsia" w:ascii="仿宋_GB2312" w:hAnsi="Calibri" w:eastAsia="仿宋_GB2312" w:cs="Times New Roman"/>
          <w:kern w:val="2"/>
          <w:sz w:val="32"/>
          <w:szCs w:val="32"/>
          <w:lang w:val="en-US" w:eastAsia="zh-CN" w:bidi="ar-SA"/>
        </w:rPr>
        <w:t>），及其相关泵组、管网等提供换季维护保养、应急服务维修、配件维修更换、技术支持等，保证医院空调设备常年的正常工作</w:t>
      </w:r>
    </w:p>
    <w:p>
      <w:pPr>
        <w:pStyle w:val="2"/>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服务期：三年</w:t>
      </w:r>
    </w:p>
    <w:p>
      <w:pPr>
        <w:keepNext w:val="0"/>
        <w:keepLines w:val="0"/>
        <w:pageBreakBefore w:val="0"/>
        <w:numPr>
          <w:ilvl w:val="0"/>
          <w:numId w:val="4"/>
        </w:numPr>
        <w:kinsoku/>
        <w:wordWrap/>
        <w:overflowPunct/>
        <w:topLinePunct w:val="0"/>
        <w:autoSpaceDE/>
        <w:autoSpaceDN/>
        <w:bidi w:val="0"/>
        <w:snapToGrid/>
        <w:spacing w:line="560" w:lineRule="exact"/>
        <w:ind w:left="0" w:leftChars="0" w:firstLine="640" w:firstLineChars="200"/>
        <w:textAlignment w:val="auto"/>
        <w:outlineLvl w:val="9"/>
        <w:rPr>
          <w:rFonts w:hint="eastAsia" w:ascii="黑体" w:eastAsia="黑体"/>
          <w:color w:val="auto"/>
          <w:sz w:val="32"/>
          <w:szCs w:val="32"/>
        </w:rPr>
      </w:pPr>
      <w:r>
        <w:rPr>
          <w:rFonts w:hint="eastAsia" w:ascii="黑体" w:eastAsia="黑体"/>
          <w:color w:val="auto"/>
          <w:sz w:val="32"/>
          <w:szCs w:val="32"/>
          <w:lang w:eastAsia="zh-CN"/>
        </w:rPr>
        <w:t>供应商</w:t>
      </w:r>
      <w:r>
        <w:rPr>
          <w:rFonts w:hint="eastAsia" w:ascii="黑体" w:eastAsia="黑体"/>
          <w:color w:val="auto"/>
          <w:sz w:val="32"/>
          <w:szCs w:val="32"/>
        </w:rPr>
        <w:t>资格要求</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1、</w:t>
      </w:r>
      <w:r>
        <w:rPr>
          <w:rFonts w:hint="eastAsia" w:ascii="仿宋_GB2312" w:eastAsia="仿宋_GB2312" w:cs="Times New Roman"/>
          <w:kern w:val="2"/>
          <w:sz w:val="32"/>
          <w:szCs w:val="32"/>
          <w:lang w:val="en-US" w:eastAsia="zh-CN" w:bidi="ar-SA"/>
        </w:rPr>
        <w:t>供应商在中国境内注册、具有合法的经营资格，具备承担采购项目的能力</w:t>
      </w:r>
      <w:r>
        <w:rPr>
          <w:rFonts w:hint="eastAsia" w:ascii="仿宋_GB2312" w:hAnsi="Calibri" w:eastAsia="仿宋_GB2312" w:cs="Times New Roman"/>
          <w:kern w:val="2"/>
          <w:sz w:val="32"/>
          <w:szCs w:val="32"/>
          <w:lang w:val="en-US" w:eastAsia="zh-CN" w:bidi="ar-SA"/>
        </w:rPr>
        <w:t>；</w:t>
      </w:r>
    </w:p>
    <w:p>
      <w:pPr>
        <w:ind w:firstLine="640" w:firstLineChars="200"/>
        <w:jc w:val="both"/>
        <w:rPr>
          <w:rFonts w:hint="eastAsia" w:ascii="仿宋_GB2312" w:eastAsia="仿宋_GB2312" w:cs="Times New Roman"/>
          <w:kern w:val="2"/>
          <w:sz w:val="32"/>
          <w:szCs w:val="32"/>
          <w:highlight w:val="yellow"/>
          <w:lang w:val="en-US" w:eastAsia="zh-CN" w:bidi="ar-SA"/>
        </w:rPr>
      </w:pPr>
      <w:r>
        <w:rPr>
          <w:rFonts w:hint="eastAsia" w:ascii="仿宋_GB2312" w:hAnsi="Calibri" w:eastAsia="仿宋_GB2312" w:cs="Times New Roman"/>
          <w:kern w:val="2"/>
          <w:sz w:val="32"/>
          <w:szCs w:val="32"/>
          <w:highlight w:val="yellow"/>
          <w:lang w:val="en-US" w:eastAsia="zh-CN" w:bidi="ar-SA"/>
        </w:rPr>
        <w:t>2、供应商须具备制冷空调设备维修安装A 类三级、B类三级、D类三级及以上相关专业资质，建筑机电安装工程专业承包三级以上资质，ISO9001质量管理体系认证证书</w:t>
      </w:r>
      <w:r>
        <w:rPr>
          <w:rFonts w:hint="eastAsia" w:ascii="仿宋_GB2312" w:eastAsia="仿宋_GB2312" w:cs="Times New Roman"/>
          <w:kern w:val="2"/>
          <w:sz w:val="32"/>
          <w:szCs w:val="32"/>
          <w:highlight w:val="yellow"/>
          <w:lang w:val="en-US" w:eastAsia="zh-CN" w:bidi="ar-SA"/>
        </w:rPr>
        <w:t>；</w:t>
      </w:r>
    </w:p>
    <w:p>
      <w:pPr>
        <w:ind w:firstLine="640" w:firstLineChars="200"/>
        <w:jc w:val="both"/>
        <w:rPr>
          <w:rFonts w:hint="eastAsia" w:ascii="仿宋_GB2312" w:eastAsia="仿宋_GB2312" w:cs="Times New Roman"/>
          <w:kern w:val="2"/>
          <w:sz w:val="32"/>
          <w:szCs w:val="32"/>
          <w:highlight w:val="yellow"/>
          <w:lang w:val="en-US" w:eastAsia="zh-CN" w:bidi="ar-SA"/>
        </w:rPr>
      </w:pPr>
      <w:r>
        <w:rPr>
          <w:rFonts w:hint="eastAsia" w:ascii="仿宋_GB2312" w:hAnsi="Calibri" w:eastAsia="仿宋_GB2312" w:cs="Times New Roman"/>
          <w:kern w:val="2"/>
          <w:sz w:val="32"/>
          <w:szCs w:val="32"/>
          <w:highlight w:val="yellow"/>
          <w:lang w:val="en-US" w:eastAsia="zh-CN" w:bidi="ar-SA"/>
        </w:rPr>
        <w:t>3、</w:t>
      </w:r>
      <w:r>
        <w:rPr>
          <w:rFonts w:hint="eastAsia" w:ascii="仿宋_GB2312" w:eastAsia="仿宋_GB2312" w:cs="Times New Roman"/>
          <w:kern w:val="2"/>
          <w:sz w:val="32"/>
          <w:szCs w:val="32"/>
          <w:highlight w:val="yellow"/>
          <w:lang w:val="en-US" w:eastAsia="zh-CN" w:bidi="ar-SA"/>
        </w:rPr>
        <w:t>供应商须具有专业工程师团队，提供工程技术人员的制冷与空调作业操作证、低压电工证，焊工证、通风工证、管道工证、高处作业操作证、安全员证等相应的维修资质；相应技术人员提供本公司半年以上社保统筹材料。</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4、</w:t>
      </w:r>
      <w:r>
        <w:rPr>
          <w:rFonts w:hint="eastAsia" w:ascii="仿宋_GB2312" w:eastAsia="仿宋_GB2312" w:cs="Times New Roman"/>
          <w:kern w:val="2"/>
          <w:sz w:val="32"/>
          <w:szCs w:val="32"/>
          <w:lang w:val="en-US" w:eastAsia="zh-CN" w:bidi="ar-SA"/>
        </w:rPr>
        <w:t>供应商</w:t>
      </w:r>
      <w:r>
        <w:rPr>
          <w:rFonts w:hint="eastAsia" w:ascii="仿宋_GB2312" w:hAnsi="Calibri" w:eastAsia="仿宋_GB2312" w:cs="Times New Roman"/>
          <w:kern w:val="2"/>
          <w:sz w:val="32"/>
          <w:szCs w:val="32"/>
          <w:lang w:val="en-US" w:eastAsia="zh-CN" w:bidi="ar-SA"/>
        </w:rPr>
        <w:t>不得有商业贿赂和不正当欺诈行为。如</w:t>
      </w:r>
      <w:r>
        <w:rPr>
          <w:rFonts w:hint="eastAsia" w:ascii="仿宋_GB2312" w:eastAsia="仿宋_GB2312" w:cs="Times New Roman"/>
          <w:kern w:val="2"/>
          <w:sz w:val="32"/>
          <w:szCs w:val="32"/>
          <w:lang w:val="en-US" w:eastAsia="zh-CN" w:bidi="ar-SA"/>
        </w:rPr>
        <w:t>供应商</w:t>
      </w:r>
      <w:r>
        <w:rPr>
          <w:rFonts w:hint="eastAsia" w:ascii="仿宋_GB2312" w:hAnsi="Calibri" w:eastAsia="仿宋_GB2312" w:cs="Times New Roman"/>
          <w:kern w:val="2"/>
          <w:sz w:val="32"/>
          <w:szCs w:val="32"/>
          <w:lang w:val="en-US" w:eastAsia="zh-CN" w:bidi="ar-SA"/>
        </w:rPr>
        <w:t>被证实有以上行为，将被视为不合格；</w:t>
      </w:r>
    </w:p>
    <w:p>
      <w:pPr>
        <w:ind w:firstLine="640" w:firstLineChars="200"/>
        <w:jc w:val="both"/>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5、</w:t>
      </w:r>
      <w:r>
        <w:rPr>
          <w:rFonts w:hint="eastAsia" w:ascii="仿宋_GB2312" w:eastAsia="仿宋_GB2312" w:cs="Times New Roman"/>
          <w:kern w:val="2"/>
          <w:sz w:val="32"/>
          <w:szCs w:val="32"/>
          <w:lang w:val="en-US" w:eastAsia="zh-CN" w:bidi="ar-SA"/>
        </w:rPr>
        <w:t>供应商不能是被列入“信用中国”和国家企业信息公示系统严重违法失信企业名单的供应商</w:t>
      </w:r>
      <w:r>
        <w:rPr>
          <w:rFonts w:hint="eastAsia" w:ascii="仿宋_GB2312" w:hAnsi="Calibri" w:eastAsia="仿宋_GB2312" w:cs="Times New Roman"/>
          <w:kern w:val="2"/>
          <w:sz w:val="32"/>
          <w:szCs w:val="32"/>
          <w:lang w:val="en-US" w:eastAsia="zh-CN" w:bidi="ar-SA"/>
        </w:rPr>
        <w:t>；</w:t>
      </w:r>
    </w:p>
    <w:p>
      <w:pPr>
        <w:spacing w:line="560" w:lineRule="exact"/>
        <w:ind w:firstLine="640" w:firstLineChars="200"/>
        <w:rPr>
          <w:rFonts w:hint="eastAsia" w:ascii="仿宋_GB2312" w:eastAsia="仿宋_GB2312"/>
          <w:sz w:val="32"/>
          <w:szCs w:val="32"/>
        </w:rPr>
      </w:pPr>
      <w:r>
        <w:rPr>
          <w:rFonts w:hint="eastAsia" w:ascii="仿宋_GB2312" w:hAnsi="Calibri" w:eastAsia="仿宋_GB2312" w:cs="Times New Roman"/>
          <w:kern w:val="2"/>
          <w:sz w:val="32"/>
          <w:szCs w:val="32"/>
          <w:lang w:val="en-US" w:eastAsia="zh-CN" w:bidi="ar-SA"/>
        </w:rPr>
        <w:t>6、</w:t>
      </w:r>
      <w:r>
        <w:rPr>
          <w:rFonts w:hint="eastAsia" w:ascii="仿宋_GB2312" w:eastAsia="仿宋_GB2312" w:cs="Times New Roman"/>
          <w:kern w:val="2"/>
          <w:sz w:val="32"/>
          <w:szCs w:val="32"/>
          <w:lang w:val="en-US" w:eastAsia="zh-CN" w:bidi="ar-SA"/>
        </w:rPr>
        <w:t>供应商应拥有备品备件库，应急备件及耗材有库存；必要时现场考察备件库的属实性</w:t>
      </w:r>
      <w:r>
        <w:rPr>
          <w:rFonts w:hint="eastAsia" w:ascii="仿宋_GB2312" w:hAnsi="Calibri" w:eastAsia="仿宋_GB2312" w:cs="Times New Roman"/>
          <w:kern w:val="2"/>
          <w:sz w:val="32"/>
          <w:szCs w:val="32"/>
          <w:lang w:val="en-US" w:eastAsia="zh-CN" w:bidi="ar-SA"/>
        </w:rPr>
        <w:t>。</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黑体" w:eastAsia="黑体"/>
          <w:sz w:val="32"/>
          <w:szCs w:val="32"/>
        </w:rPr>
      </w:pPr>
      <w:r>
        <w:rPr>
          <w:rFonts w:hint="eastAsia" w:ascii="黑体" w:eastAsia="黑体"/>
          <w:sz w:val="32"/>
          <w:szCs w:val="32"/>
        </w:rPr>
        <w:t>四、报名信息及资料提交</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29</w:t>
      </w:r>
      <w:r>
        <w:rPr>
          <w:rFonts w:hint="eastAsia" w:ascii="仿宋_GB2312" w:eastAsia="仿宋_GB2312"/>
          <w:color w:val="C00000"/>
          <w:sz w:val="32"/>
          <w:szCs w:val="32"/>
        </w:rPr>
        <w:t>日</w:t>
      </w:r>
    </w:p>
    <w:p>
      <w:pPr>
        <w:keepNext w:val="0"/>
        <w:keepLines w:val="0"/>
        <w:pageBreakBefore w:val="0"/>
        <w:kinsoku/>
        <w:wordWrap/>
        <w:overflowPunct/>
        <w:topLinePunct w:val="0"/>
        <w:autoSpaceDE/>
        <w:autoSpaceDN/>
        <w:bidi w:val="0"/>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【工作日8:</w:t>
      </w:r>
      <w:r>
        <w:rPr>
          <w:rFonts w:hint="eastAsia" w:ascii="仿宋_GB2312" w:eastAsia="仿宋_GB2312"/>
          <w:sz w:val="32"/>
          <w:szCs w:val="32"/>
          <w:lang w:val="en-US" w:eastAsia="zh-CN"/>
        </w:rPr>
        <w:t>0</w:t>
      </w:r>
      <w:r>
        <w:rPr>
          <w:rFonts w:hint="eastAsia" w:ascii="仿宋_GB2312" w:eastAsia="仿宋_GB2312"/>
          <w:sz w:val="32"/>
          <w:szCs w:val="32"/>
        </w:rPr>
        <w:t>0-12:00,14:</w:t>
      </w:r>
      <w:r>
        <w:rPr>
          <w:rFonts w:hint="eastAsia" w:ascii="仿宋_GB2312" w:eastAsia="仿宋_GB2312"/>
          <w:sz w:val="32"/>
          <w:szCs w:val="32"/>
          <w:lang w:val="en-US" w:eastAsia="zh-CN"/>
        </w:rPr>
        <w:t>0</w:t>
      </w:r>
      <w:r>
        <w:rPr>
          <w:rFonts w:hint="eastAsia" w:ascii="仿宋_GB2312" w:eastAsia="仿宋_GB2312"/>
          <w:sz w:val="32"/>
          <w:szCs w:val="32"/>
        </w:rPr>
        <w:t>0-17:00（北京时间）】</w:t>
      </w:r>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textAlignment w:val="auto"/>
        <w:outlineLvl w:val="9"/>
        <w:rPr>
          <w:rFonts w:hint="eastAsia" w:ascii="仿宋_GB2312" w:eastAsia="仿宋_GB2312"/>
          <w:sz w:val="32"/>
          <w:szCs w:val="32"/>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 科研楼3楼财务部</w:t>
      </w:r>
      <w:bookmarkStart w:id="17" w:name="_GoBack"/>
      <w:bookmarkEnd w:id="17"/>
    </w:p>
    <w:p>
      <w:pPr>
        <w:keepNext w:val="0"/>
        <w:keepLines w:val="0"/>
        <w:pageBreakBefore w:val="0"/>
        <w:numPr>
          <w:ilvl w:val="0"/>
          <w:numId w:val="5"/>
        </w:numPr>
        <w:kinsoku/>
        <w:wordWrap/>
        <w:overflowPunct/>
        <w:topLinePunct w:val="0"/>
        <w:autoSpaceDE/>
        <w:autoSpaceDN/>
        <w:bidi w:val="0"/>
        <w:snapToGrid/>
        <w:spacing w:line="560" w:lineRule="exact"/>
        <w:ind w:left="-10" w:leftChars="0" w:firstLine="640" w:firstLineChars="0"/>
        <w:jc w:val="left"/>
        <w:textAlignment w:val="auto"/>
        <w:outlineLvl w:val="9"/>
        <w:rPr>
          <w:rFonts w:hint="eastAsia" w:ascii="仿宋_GB2312" w:eastAsia="仿宋_GB2312"/>
          <w:color w:val="FF0000"/>
          <w:sz w:val="32"/>
          <w:szCs w:val="32"/>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w:t>
      </w:r>
    </w:p>
    <w:p>
      <w:pPr>
        <w:keepNext w:val="0"/>
        <w:keepLines w:val="0"/>
        <w:pageBreakBefore w:val="0"/>
        <w:numPr>
          <w:ilvl w:val="0"/>
          <w:numId w:val="0"/>
        </w:numPr>
        <w:kinsoku/>
        <w:wordWrap/>
        <w:overflowPunct/>
        <w:topLinePunct w:val="0"/>
        <w:autoSpaceDE/>
        <w:autoSpaceDN/>
        <w:bidi w:val="0"/>
        <w:snapToGrid/>
        <w:spacing w:line="560" w:lineRule="exact"/>
        <w:jc w:val="left"/>
        <w:textAlignment w:val="auto"/>
        <w:outlineLvl w:val="9"/>
        <w:rPr>
          <w:rFonts w:hint="eastAsia" w:ascii="仿宋_GB2312" w:eastAsia="仿宋_GB2312"/>
          <w:color w:val="FF0000"/>
          <w:sz w:val="32"/>
          <w:szCs w:val="32"/>
          <w:lang w:eastAsia="zh-CN"/>
        </w:rPr>
      </w:pPr>
      <w:r>
        <w:rPr>
          <w:rFonts w:hint="eastAsia" w:ascii="仿宋_GB2312" w:eastAsia="仿宋_GB2312"/>
          <w:color w:val="FF0000"/>
          <w:sz w:val="32"/>
          <w:szCs w:val="32"/>
        </w:rPr>
        <w:t>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s="Times New Roman"/>
          <w:color w:val="FF0000"/>
          <w:sz w:val="32"/>
          <w:szCs w:val="32"/>
          <w:lang w:eastAsia="zh-CN"/>
        </w:rPr>
        <w:t>。</w:t>
      </w:r>
      <w:r>
        <w:rPr>
          <w:rFonts w:hint="eastAsia" w:ascii="仿宋_GB2312" w:eastAsia="仿宋_GB2312" w:cs="Times New Roman"/>
          <w:color w:val="FF0000"/>
          <w:sz w:val="32"/>
          <w:szCs w:val="32"/>
          <w:highlight w:val="yellow"/>
          <w:lang w:eastAsia="zh-CN"/>
        </w:rPr>
        <w:t>制冷空调维修安装资质复印件。</w:t>
      </w:r>
    </w:p>
    <w:p>
      <w:pPr>
        <w:pStyle w:val="2"/>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lang w:eastAsia="zh-CN"/>
        </w:rPr>
      </w:pPr>
      <w:r>
        <w:rPr>
          <w:rFonts w:hint="eastAsia" w:ascii="仿宋_GB2312" w:hAnsi="Calibri" w:eastAsia="仿宋_GB2312" w:cs="Times New Roman"/>
          <w:color w:val="C00000"/>
          <w:kern w:val="2"/>
          <w:sz w:val="32"/>
          <w:szCs w:val="32"/>
          <w:highlight w:val="yellow"/>
          <w:lang w:val="en-US" w:eastAsia="zh-CN" w:bidi="ar-SA"/>
        </w:rPr>
        <w:t>4、本项目</w:t>
      </w:r>
      <w:r>
        <w:rPr>
          <w:rFonts w:hint="eastAsia" w:ascii="仿宋_GB2312" w:eastAsia="仿宋_GB2312" w:cs="Times New Roman"/>
          <w:color w:val="C00000"/>
          <w:kern w:val="2"/>
          <w:sz w:val="32"/>
          <w:szCs w:val="32"/>
          <w:highlight w:val="yellow"/>
          <w:lang w:val="en-US" w:eastAsia="zh-CN" w:bidi="ar-SA"/>
        </w:rPr>
        <w:t>接受</w:t>
      </w:r>
      <w:r>
        <w:rPr>
          <w:rFonts w:hint="eastAsia" w:ascii="仿宋_GB2312" w:hAnsi="Calibri" w:eastAsia="仿宋_GB2312" w:cs="Times New Roman"/>
          <w:color w:val="C00000"/>
          <w:kern w:val="2"/>
          <w:sz w:val="32"/>
          <w:szCs w:val="32"/>
          <w:highlight w:val="yellow"/>
          <w:lang w:val="en-US" w:eastAsia="zh-CN" w:bidi="ar-SA"/>
        </w:rPr>
        <w:t>网上报名及现场报名，如选择网上报名请各报名单位将报名所需材料电子版，发至招标办邮箱，并注明联系人、联系方式</w:t>
      </w:r>
      <w:r>
        <w:rPr>
          <w:rFonts w:hint="eastAsia" w:ascii="仿宋_GB2312" w:hAnsi="Calibri" w:eastAsia="仿宋_GB2312" w:cs="Times New Roman"/>
          <w:color w:val="C00000"/>
          <w:kern w:val="2"/>
          <w:sz w:val="32"/>
          <w:szCs w:val="32"/>
          <w:lang w:val="en-US" w:eastAsia="zh-CN" w:bidi="ar-SA"/>
        </w:rPr>
        <w:t>。</w:t>
      </w:r>
    </w:p>
    <w:p>
      <w:pPr>
        <w:keepNext w:val="0"/>
        <w:keepLines w:val="0"/>
        <w:pageBreakBefore w:val="0"/>
        <w:numPr>
          <w:ilvl w:val="0"/>
          <w:numId w:val="0"/>
        </w:numPr>
        <w:kinsoku/>
        <w:wordWrap/>
        <w:overflowPunct/>
        <w:topLinePunct w:val="0"/>
        <w:autoSpaceDE/>
        <w:autoSpaceDN/>
        <w:bidi w:val="0"/>
        <w:snapToGrid/>
        <w:spacing w:line="560" w:lineRule="exact"/>
        <w:ind w:firstLine="640" w:firstLineChars="200"/>
        <w:textAlignment w:val="auto"/>
        <w:outlineLvl w:val="9"/>
        <w:rPr>
          <w:rFonts w:hint="eastAsia" w:ascii="黑体" w:eastAsia="黑体"/>
          <w:sz w:val="32"/>
          <w:szCs w:val="32"/>
        </w:rPr>
      </w:pPr>
      <w:r>
        <w:rPr>
          <w:rFonts w:hint="eastAsia" w:ascii="黑体" w:eastAsia="黑体"/>
          <w:sz w:val="32"/>
          <w:szCs w:val="32"/>
          <w:lang w:eastAsia="zh-CN"/>
        </w:rPr>
        <w:t>五、</w:t>
      </w:r>
      <w:r>
        <w:rPr>
          <w:rFonts w:hint="eastAsia" w:ascii="黑体" w:eastAsia="黑体"/>
          <w:sz w:val="32"/>
          <w:szCs w:val="32"/>
        </w:rPr>
        <w:t>评审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b/>
          <w:color w:val="C00000"/>
          <w:sz w:val="32"/>
          <w:szCs w:val="32"/>
          <w:lang w:val="en-US" w:eastAsia="zh-CN"/>
        </w:rPr>
      </w:pPr>
      <w:r>
        <w:rPr>
          <w:rFonts w:hint="eastAsia" w:ascii="仿宋_GB2312" w:eastAsia="仿宋_GB2312"/>
          <w:b/>
          <w:sz w:val="32"/>
          <w:szCs w:val="32"/>
        </w:rPr>
        <w:t>评审时间：</w:t>
      </w:r>
      <w:r>
        <w:rPr>
          <w:rFonts w:hint="eastAsia" w:ascii="仿宋_GB2312" w:eastAsia="仿宋_GB2312"/>
          <w:b/>
          <w:color w:val="C00000"/>
          <w:sz w:val="32"/>
          <w:szCs w:val="32"/>
          <w:lang w:val="en-US" w:eastAsia="zh-CN"/>
        </w:rPr>
        <w:t>另行通知</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outlineLvl w:val="9"/>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lang w:eastAsia="zh-CN"/>
        </w:rPr>
        <w:t>报价</w:t>
      </w:r>
      <w:r>
        <w:rPr>
          <w:rFonts w:hint="eastAsia" w:ascii="仿宋_GB2312" w:eastAsia="仿宋_GB2312"/>
          <w:b/>
          <w:sz w:val="32"/>
          <w:szCs w:val="32"/>
        </w:rPr>
        <w:t>方式：</w:t>
      </w:r>
      <w:r>
        <w:rPr>
          <w:rFonts w:hint="eastAsia" w:ascii="仿宋_GB2312" w:eastAsia="仿宋_GB2312"/>
          <w:sz w:val="32"/>
          <w:szCs w:val="32"/>
          <w:lang w:eastAsia="zh-CN"/>
        </w:rPr>
        <w:t>二次报价</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eastAsia="仿宋_GB2312"/>
          <w:sz w:val="32"/>
          <w:szCs w:val="32"/>
          <w:lang w:eastAsia="zh-CN"/>
        </w:rPr>
      </w:pPr>
      <w:r>
        <w:rPr>
          <w:rFonts w:hint="eastAsia" w:ascii="仿宋_GB2312" w:eastAsia="仿宋_GB2312"/>
          <w:b/>
          <w:sz w:val="32"/>
          <w:szCs w:val="32"/>
        </w:rPr>
        <w:t>联 系 人：</w:t>
      </w:r>
      <w:r>
        <w:rPr>
          <w:rFonts w:hint="eastAsia" w:ascii="仿宋_GB2312" w:eastAsia="仿宋_GB2312"/>
          <w:sz w:val="32"/>
          <w:szCs w:val="32"/>
        </w:rPr>
        <w:t>吴</w:t>
      </w:r>
      <w:r>
        <w:rPr>
          <w:rFonts w:hint="eastAsia" w:ascii="仿宋_GB2312" w:eastAsia="仿宋_GB2312"/>
          <w:sz w:val="32"/>
          <w:szCs w:val="32"/>
          <w:lang w:eastAsia="zh-CN"/>
        </w:rPr>
        <w:t>女士</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outlineLvl w:val="9"/>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ascii="仿宋_GB2312" w:eastAsia="仿宋_GB2312"/>
          <w:b/>
          <w:sz w:val="32"/>
          <w:szCs w:val="32"/>
          <w:lang w:val="en-US"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pStyle w:val="2"/>
      </w:pPr>
    </w:p>
    <w:p>
      <w:pPr>
        <w:pStyle w:val="2"/>
      </w:pPr>
    </w:p>
    <w:p>
      <w:pPr>
        <w:pStyle w:val="2"/>
      </w:pPr>
    </w:p>
    <w:p>
      <w:pPr>
        <w:pStyle w:val="2"/>
      </w:pPr>
    </w:p>
    <w:p>
      <w:pPr>
        <w:pStyle w:val="2"/>
      </w:pPr>
    </w:p>
    <w:p>
      <w:pPr>
        <w:pStyle w:val="2"/>
      </w:pPr>
    </w:p>
    <w:p>
      <w:pPr>
        <w:numPr>
          <w:ilvl w:val="0"/>
          <w:numId w:val="6"/>
        </w:numPr>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评审细则</w:t>
      </w:r>
    </w:p>
    <w:p>
      <w:pPr>
        <w:spacing w:line="560" w:lineRule="exact"/>
        <w:ind w:right="-92" w:rightChars="-44" w:firstLine="480" w:firstLineChars="200"/>
        <w:rPr>
          <w:rFonts w:hint="eastAsia" w:ascii="宋体" w:hAnsi="宋体"/>
          <w:bCs/>
          <w:sz w:val="24"/>
        </w:rPr>
      </w:pPr>
      <w:r>
        <w:rPr>
          <w:rFonts w:hint="eastAsia" w:ascii="宋体" w:hAnsi="宋体"/>
          <w:bCs/>
          <w:sz w:val="24"/>
        </w:rPr>
        <w:t>评标原则:遵循公平、公正、科学和择优的原则。</w:t>
      </w:r>
    </w:p>
    <w:p>
      <w:pPr>
        <w:spacing w:line="560" w:lineRule="exact"/>
        <w:ind w:right="-92" w:rightChars="-44" w:firstLine="480" w:firstLineChars="200"/>
        <w:rPr>
          <w:rFonts w:hint="eastAsia" w:ascii="宋体" w:hAnsi="宋体"/>
          <w:bCs/>
          <w:sz w:val="24"/>
        </w:rPr>
      </w:pPr>
      <w:r>
        <w:rPr>
          <w:rFonts w:hint="eastAsia" w:ascii="宋体" w:hAnsi="宋体"/>
          <w:bCs/>
          <w:sz w:val="24"/>
        </w:rPr>
        <w:t>评标办法：评标委员会将采用综合评估法确定中标单位。</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487"/>
        <w:gridCol w:w="2669"/>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241"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条款号</w:t>
            </w:r>
          </w:p>
        </w:tc>
        <w:tc>
          <w:tcPr>
            <w:tcW w:w="2669"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b/>
                <w:color w:val="000000" w:themeColor="text1"/>
                <w:szCs w:val="21"/>
                <w:highlight w:val="yellow"/>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7" w:hRule="atLeast"/>
          <w:jc w:val="center"/>
        </w:trPr>
        <w:tc>
          <w:tcPr>
            <w:tcW w:w="1241" w:type="dxa"/>
            <w:gridSpan w:val="2"/>
            <w:vAlign w:val="center"/>
          </w:tcPr>
          <w:p>
            <w:pPr>
              <w:spacing w:before="120" w:after="120" w:line="360" w:lineRule="auto"/>
              <w:jc w:val="center"/>
              <w:rPr>
                <w:rFonts w:ascii="宋体" w:hAnsi="宋体" w:eastAsia="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w:t>
            </w:r>
          </w:p>
        </w:tc>
        <w:tc>
          <w:tcPr>
            <w:tcW w:w="2669" w:type="dxa"/>
            <w:vAlign w:val="center"/>
          </w:tcPr>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highlight w:val="yellow"/>
                <w:u w:val="single"/>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报价部分：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40</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实施方案</w:t>
            </w: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u w:val="single"/>
                <w:lang w:val="en-US" w:eastAsia="zh-CN"/>
                <w14:textFill>
                  <w14:solidFill>
                    <w14:schemeClr w14:val="tx1"/>
                  </w14:solidFill>
                </w14:textFill>
              </w:rPr>
              <w:t xml:space="preserve"> 25</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p>
            <w:pPr>
              <w:spacing w:before="120" w:after="120" w:line="360" w:lineRule="auto"/>
              <w:rPr>
                <w:rFonts w:hint="eastAsia"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综合部分：</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u w:val="single"/>
                <w:lang w:val="en-US" w:eastAsia="zh-CN"/>
                <w14:textFill>
                  <w14:solidFill>
                    <w14:schemeClr w14:val="tx1"/>
                  </w14:solidFill>
                </w14:textFill>
              </w:rPr>
              <w:t>15</w:t>
            </w:r>
            <w:r>
              <w:rPr>
                <w:rFonts w:hint="eastAsia" w:ascii="宋体" w:hAnsi="宋体" w:cs="宋体"/>
                <w:color w:val="000000" w:themeColor="text1"/>
                <w:szCs w:val="21"/>
                <w:highlight w:val="yellow"/>
                <w14:textFill>
                  <w14:solidFill>
                    <w14:schemeClr w14:val="tx1"/>
                  </w14:solidFill>
                </w14:textFill>
              </w:rPr>
              <w:t>分</w:t>
            </w:r>
          </w:p>
          <w:p>
            <w:pPr>
              <w:pStyle w:val="2"/>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r>
              <w:rPr>
                <w:rFonts w:hint="eastAsia" w:ascii="宋体" w:hAnsi="宋体" w:cs="宋体"/>
                <w:color w:val="000000" w:themeColor="text1"/>
                <w:szCs w:val="21"/>
                <w:highlight w:val="yellow"/>
                <w:u w:val="single"/>
                <w:lang w:val="en-US" w:eastAsia="zh-CN"/>
                <w14:textFill>
                  <w14:solidFill>
                    <w14:schemeClr w14:val="tx1"/>
                  </w14:solidFill>
                </w14:textFill>
              </w:rPr>
              <w:t>20</w:t>
            </w:r>
            <w:r>
              <w:rPr>
                <w:rFonts w:hint="eastAsia" w:ascii="宋体" w:hAnsi="宋体" w:cs="宋体"/>
                <w:color w:val="000000" w:themeColor="text1"/>
                <w:szCs w:val="21"/>
                <w:highlight w:val="yellow"/>
                <w:u w:val="single"/>
                <w14:textFill>
                  <w14:solidFill>
                    <w14:schemeClr w14:val="tx1"/>
                  </w14:solidFill>
                </w14:textFill>
              </w:rPr>
              <w:t xml:space="preserve"> </w:t>
            </w:r>
            <w:r>
              <w:rPr>
                <w:rFonts w:hint="eastAsia" w:ascii="宋体" w:hAnsi="宋体" w:cs="宋体"/>
                <w:color w:val="000000" w:themeColor="text1"/>
                <w:szCs w:val="21"/>
                <w:highlight w:val="yellow"/>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jc w:val="center"/>
        </w:trPr>
        <w:tc>
          <w:tcPr>
            <w:tcW w:w="1241" w:type="dxa"/>
            <w:gridSpan w:val="2"/>
            <w:vAlign w:val="center"/>
          </w:tcPr>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1.(1)</w:t>
            </w:r>
          </w:p>
        </w:tc>
        <w:tc>
          <w:tcPr>
            <w:tcW w:w="2669" w:type="dxa"/>
            <w:vAlign w:val="center"/>
          </w:tcPr>
          <w:p>
            <w:pPr>
              <w:spacing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满足招标文件要求</w:t>
            </w:r>
            <w:r>
              <w:rPr>
                <w:rFonts w:hint="eastAsia" w:ascii="宋体" w:hAnsi="宋体" w:cs="宋体"/>
                <w:color w:val="000000" w:themeColor="text1"/>
                <w:szCs w:val="21"/>
                <w:highlight w:val="yellow"/>
                <w:lang w:eastAsia="zh-CN"/>
                <w14:textFill>
                  <w14:solidFill>
                    <w14:schemeClr w14:val="tx1"/>
                  </w14:solidFill>
                </w14:textFill>
              </w:rPr>
              <w:t>以最低价</w:t>
            </w:r>
            <w:r>
              <w:rPr>
                <w:rFonts w:hint="eastAsia" w:ascii="宋体" w:hAnsi="宋体" w:cs="宋体"/>
                <w:color w:val="000000" w:themeColor="text1"/>
                <w:szCs w:val="21"/>
                <w:highlight w:val="yellow"/>
                <w14:textFill>
                  <w14:solidFill>
                    <w14:schemeClr w14:val="tx1"/>
                  </w14:solidFill>
                </w14:textFill>
              </w:rPr>
              <w:t>为评标基准价，得</w:t>
            </w:r>
            <w:r>
              <w:rPr>
                <w:rFonts w:hint="eastAsia" w:ascii="宋体" w:hAnsi="宋体" w:cs="宋体"/>
                <w:color w:val="000000" w:themeColor="text1"/>
                <w:szCs w:val="21"/>
                <w:highlight w:val="yellow"/>
                <w:lang w:val="en-US" w:eastAsia="zh-CN"/>
                <w14:textFill>
                  <w14:solidFill>
                    <w14:schemeClr w14:val="tx1"/>
                  </w14:solidFill>
                </w14:textFill>
              </w:rPr>
              <w:t>40</w:t>
            </w:r>
            <w:r>
              <w:rPr>
                <w:rFonts w:hint="eastAsia" w:ascii="宋体" w:hAnsi="宋体" w:cs="宋体"/>
                <w:color w:val="000000" w:themeColor="text1"/>
                <w:szCs w:val="21"/>
                <w:highlight w:val="yellow"/>
                <w14:textFill>
                  <w14:solidFill>
                    <w14:schemeClr w14:val="tx1"/>
                  </w14:solidFill>
                </w14:textFill>
              </w:rPr>
              <w:t>分，其余投标人得分按照以下公式计算：（</w:t>
            </w:r>
            <w:r>
              <w:rPr>
                <w:rFonts w:hint="eastAsia" w:ascii="宋体" w:hAnsi="宋体" w:cs="宋体"/>
                <w:color w:val="000000" w:themeColor="text1"/>
                <w:szCs w:val="21"/>
                <w:highlight w:val="yellow"/>
                <w:lang w:val="en-US" w:eastAsia="zh-CN"/>
                <w14:textFill>
                  <w14:solidFill>
                    <w14:schemeClr w14:val="tx1"/>
                  </w14:solidFill>
                </w14:textFill>
              </w:rPr>
              <w:t>40</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 xml:space="preserve">投标报价得分=（评标基准价/投标报价）* </w:t>
            </w:r>
            <w:r>
              <w:rPr>
                <w:rFonts w:hint="eastAsia" w:ascii="宋体" w:hAnsi="宋体" w:cs="宋体"/>
                <w:color w:val="000000" w:themeColor="text1"/>
                <w:szCs w:val="21"/>
                <w:highlight w:val="yellow"/>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241" w:type="dxa"/>
            <w:gridSpan w:val="2"/>
            <w:vAlign w:val="center"/>
          </w:tcPr>
          <w:p>
            <w:pPr>
              <w:spacing w:before="120" w:after="120" w:line="360" w:lineRule="auto"/>
              <w:jc w:val="center"/>
              <w:rPr>
                <w:rFonts w:ascii="宋体" w:hAnsi="宋体" w:cs="宋体"/>
                <w:b/>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1.(2)</w:t>
            </w:r>
          </w:p>
        </w:tc>
        <w:tc>
          <w:tcPr>
            <w:tcW w:w="2669" w:type="dxa"/>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项目实施方案</w:t>
            </w:r>
            <w:r>
              <w:rPr>
                <w:rFonts w:hint="eastAsia" w:ascii="宋体" w:hAnsi="宋体" w:cs="宋体"/>
                <w:color w:val="000000" w:themeColor="text1"/>
                <w:szCs w:val="21"/>
                <w:highlight w:val="yellow"/>
                <w14:textFill>
                  <w14:solidFill>
                    <w14:schemeClr w14:val="tx1"/>
                  </w14:solidFill>
                </w14:textFill>
              </w:rPr>
              <w:t>（</w:t>
            </w:r>
            <w:r>
              <w:rPr>
                <w:rFonts w:hint="eastAsia" w:ascii="宋体" w:hAnsi="宋体" w:cs="宋体"/>
                <w:color w:val="000000" w:themeColor="text1"/>
                <w:szCs w:val="21"/>
                <w:highlight w:val="yellow"/>
                <w:lang w:val="en-US" w:eastAsia="zh-CN"/>
                <w14:textFill>
                  <w14:solidFill>
                    <w14:schemeClr w14:val="tx1"/>
                  </w14:solidFill>
                </w14:textFill>
              </w:rPr>
              <w:t>25</w:t>
            </w:r>
            <w:r>
              <w:rPr>
                <w:rFonts w:hint="eastAsia" w:ascii="宋体" w:hAnsi="宋体" w:cs="宋体"/>
                <w:color w:val="000000" w:themeColor="text1"/>
                <w:szCs w:val="21"/>
                <w:highlight w:val="yellow"/>
                <w14:textFill>
                  <w14:solidFill>
                    <w14:schemeClr w14:val="tx1"/>
                  </w14:solidFill>
                </w14:textFill>
              </w:rPr>
              <w:t>分）</w:t>
            </w:r>
          </w:p>
        </w:tc>
        <w:tc>
          <w:tcPr>
            <w:tcW w:w="5157" w:type="dxa"/>
          </w:tcPr>
          <w:p>
            <w:pPr>
              <w:spacing w:before="120" w:after="120" w:line="360" w:lineRule="auto"/>
              <w:rPr>
                <w:rFonts w:hint="default"/>
                <w:lang w:val="en-US" w:eastAsia="zh-CN"/>
              </w:rPr>
            </w:pPr>
            <w:r>
              <w:rPr>
                <w:rFonts w:hint="eastAsia"/>
                <w:color w:val="auto"/>
                <w:lang w:val="en-US" w:eastAsia="zh-CN"/>
              </w:rPr>
              <w:t>根据项目实施方案在0-25分范围内进行打分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1.(3)</w:t>
            </w:r>
          </w:p>
        </w:tc>
        <w:tc>
          <w:tcPr>
            <w:tcW w:w="487" w:type="dxa"/>
            <w:vMerge w:val="restart"/>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综合评标分标准</w:t>
            </w:r>
          </w:p>
        </w:tc>
        <w:tc>
          <w:tcPr>
            <w:tcW w:w="2669"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综合实力（</w:t>
            </w:r>
            <w:r>
              <w:rPr>
                <w:rFonts w:hint="eastAsia" w:ascii="宋体" w:hAnsi="宋体" w:cs="宋体"/>
                <w:color w:val="000000" w:themeColor="text1"/>
                <w:szCs w:val="21"/>
                <w:highlight w:val="yellow"/>
                <w:lang w:val="en-US" w:eastAsia="zh-CN"/>
                <w14:textFill>
                  <w14:solidFill>
                    <w14:schemeClr w14:val="tx1"/>
                  </w14:solidFill>
                </w14:textFill>
              </w:rPr>
              <w:t>10</w:t>
            </w:r>
            <w:r>
              <w:rPr>
                <w:rFonts w:hint="eastAsia" w:ascii="宋体" w:hAnsi="宋体" w:cs="宋体"/>
                <w:color w:val="000000" w:themeColor="text1"/>
                <w:szCs w:val="21"/>
                <w:highlight w:val="yellow"/>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default" w:ascii="宋体" w:hAnsi="宋体" w:cs="宋体" w:eastAsiaTheme="minorEastAsia"/>
                <w:color w:val="000000" w:themeColor="text1"/>
                <w:kern w:val="0"/>
                <w:szCs w:val="21"/>
                <w:highlight w:val="yellow"/>
                <w:lang w:val="en-US" w:eastAsia="zh-CN"/>
                <w14:textFill>
                  <w14:solidFill>
                    <w14:schemeClr w14:val="tx1"/>
                  </w14:solidFill>
                </w14:textFill>
              </w:rPr>
            </w:pPr>
            <w:r>
              <w:rPr>
                <w:rFonts w:hint="eastAsia" w:ascii="宋体" w:hAnsi="宋体" w:cs="宋体"/>
                <w:color w:val="000000" w:themeColor="text1"/>
                <w:kern w:val="0"/>
                <w:szCs w:val="21"/>
                <w:highlight w:val="yellow"/>
                <w:lang w:val="en-US" w:eastAsia="zh-CN"/>
                <w14:textFill>
                  <w14:solidFill>
                    <w14:schemeClr w14:val="tx1"/>
                  </w14:solidFill>
                </w14:textFill>
              </w:rPr>
              <w:t>根据技术人员、公司资质等相关信息在0-10分范围内打分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487" w:type="dxa"/>
            <w:vMerge w:val="continue"/>
            <w:vAlign w:val="center"/>
          </w:tcPr>
          <w:p>
            <w:pPr>
              <w:spacing w:before="120" w:after="120" w:line="360" w:lineRule="auto"/>
              <w:rPr>
                <w:rFonts w:ascii="宋体" w:hAnsi="宋体" w:cs="宋体"/>
                <w:color w:val="000000" w:themeColor="text1"/>
                <w:szCs w:val="21"/>
                <w:highlight w:val="yellow"/>
                <w14:textFill>
                  <w14:solidFill>
                    <w14:schemeClr w14:val="tx1"/>
                  </w14:solidFill>
                </w14:textFill>
              </w:rPr>
            </w:pPr>
          </w:p>
        </w:tc>
        <w:tc>
          <w:tcPr>
            <w:tcW w:w="2669" w:type="dxa"/>
            <w:vAlign w:val="center"/>
          </w:tcPr>
          <w:p>
            <w:pPr>
              <w:spacing w:before="120" w:after="120" w:line="360" w:lineRule="auto"/>
              <w:jc w:val="center"/>
              <w:rPr>
                <w:rFonts w:ascii="宋体" w:hAnsi="宋体" w:cs="宋体"/>
                <w:color w:val="000000" w:themeColor="text1"/>
                <w:szCs w:val="21"/>
                <w:highlight w:val="yellow"/>
                <w14:textFill>
                  <w14:solidFill>
                    <w14:schemeClr w14:val="tx1"/>
                  </w14:solidFill>
                </w14:textFill>
              </w:rPr>
            </w:pPr>
            <w:r>
              <w:rPr>
                <w:rFonts w:hint="eastAsia" w:ascii="宋体" w:hAnsi="宋体" w:cs="宋体"/>
                <w:color w:val="000000" w:themeColor="text1"/>
                <w:szCs w:val="21"/>
                <w:highlight w:val="yellow"/>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highlight w:val="yellow"/>
                <w14:textFill>
                  <w14:solidFill>
                    <w14:schemeClr w14:val="tx1"/>
                  </w14:solidFill>
                </w14:textFill>
              </w:rPr>
            </w:pPr>
            <w:r>
              <w:rPr>
                <w:rFonts w:hint="eastAsia" w:ascii="宋体" w:hAnsi="宋体" w:cs="宋体"/>
                <w:color w:val="000000" w:themeColor="text1"/>
                <w:kern w:val="0"/>
                <w:szCs w:val="21"/>
                <w:highlight w:val="yellow"/>
                <w14:textFill>
                  <w14:solidFill>
                    <w14:schemeClr w14:val="tx1"/>
                  </w14:solidFill>
                </w14:textFill>
              </w:rPr>
              <w:t>1.具有2</w:t>
            </w:r>
            <w:r>
              <w:rPr>
                <w:rFonts w:hint="eastAsia" w:ascii="宋体" w:hAnsi="宋体" w:cs="宋体"/>
                <w:color w:val="000000" w:themeColor="text1"/>
                <w:kern w:val="0"/>
                <w:szCs w:val="21"/>
                <w:highlight w:val="yellow"/>
                <w:lang w:val="en-US" w:eastAsia="zh-CN"/>
                <w14:textFill>
                  <w14:solidFill>
                    <w14:schemeClr w14:val="tx1"/>
                  </w14:solidFill>
                </w14:textFill>
              </w:rPr>
              <w:t>020</w:t>
            </w:r>
            <w:r>
              <w:rPr>
                <w:rFonts w:hint="eastAsia" w:ascii="宋体" w:hAnsi="宋体" w:cs="宋体"/>
                <w:color w:val="000000" w:themeColor="text1"/>
                <w:kern w:val="0"/>
                <w:szCs w:val="21"/>
                <w:highlight w:val="yellow"/>
                <w14:textFill>
                  <w14:solidFill>
                    <w14:schemeClr w14:val="tx1"/>
                  </w14:solidFill>
                </w14:textFill>
              </w:rPr>
              <w:t>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highlight w:val="yellow"/>
                <w:lang w:val="en-US" w:eastAsia="zh-CN"/>
                <w14:textFill>
                  <w14:solidFill>
                    <w14:schemeClr w14:val="tx1"/>
                  </w14:solidFill>
                </w14:textFill>
              </w:rPr>
            </w:pPr>
            <w:r>
              <w:rPr>
                <w:rFonts w:hint="eastAsia" w:ascii="宋体" w:hAnsi="宋体" w:cs="宋体"/>
                <w:color w:val="000000" w:themeColor="text1"/>
                <w:szCs w:val="21"/>
                <w:highlight w:val="yellow"/>
                <w:lang w:val="en-US" w:eastAsia="zh-CN"/>
                <w14:textFill>
                  <w14:solidFill>
                    <w14:schemeClr w14:val="tx1"/>
                  </w14:solidFill>
                </w14:textFill>
              </w:rPr>
              <w:t>1.（4）</w:t>
            </w:r>
          </w:p>
        </w:tc>
        <w:tc>
          <w:tcPr>
            <w:tcW w:w="487" w:type="dxa"/>
            <w:vAlign w:val="center"/>
          </w:tcPr>
          <w:p>
            <w:pPr>
              <w:spacing w:before="120" w:after="120" w:line="360" w:lineRule="auto"/>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服务部分</w:t>
            </w:r>
          </w:p>
        </w:tc>
        <w:tc>
          <w:tcPr>
            <w:tcW w:w="2669" w:type="dxa"/>
            <w:vAlign w:val="center"/>
          </w:tcPr>
          <w:p>
            <w:pPr>
              <w:spacing w:before="120" w:after="120" w:line="360" w:lineRule="auto"/>
              <w:jc w:val="center"/>
              <w:rPr>
                <w:rFonts w:hint="eastAsia" w:ascii="宋体" w:hAnsi="宋体" w:cs="宋体" w:eastAsiaTheme="minorEastAsia"/>
                <w:color w:val="000000" w:themeColor="text1"/>
                <w:szCs w:val="21"/>
                <w:highlight w:val="yellow"/>
                <w:lang w:eastAsia="zh-CN"/>
                <w14:textFill>
                  <w14:solidFill>
                    <w14:schemeClr w14:val="tx1"/>
                  </w14:solidFill>
                </w14:textFill>
              </w:rPr>
            </w:pPr>
            <w:r>
              <w:rPr>
                <w:rFonts w:hint="eastAsia" w:ascii="宋体" w:hAnsi="宋体" w:cs="宋体"/>
                <w:color w:val="000000" w:themeColor="text1"/>
                <w:szCs w:val="21"/>
                <w:highlight w:val="yellow"/>
                <w:lang w:eastAsia="zh-CN"/>
                <w14:textFill>
                  <w14:solidFill>
                    <w14:schemeClr w14:val="tx1"/>
                  </w14:solidFill>
                </w14:textFill>
              </w:rPr>
              <w:t>服务方案（</w:t>
            </w:r>
            <w:r>
              <w:rPr>
                <w:rFonts w:hint="eastAsia" w:ascii="宋体" w:hAnsi="宋体" w:cs="宋体"/>
                <w:color w:val="000000" w:themeColor="text1"/>
                <w:szCs w:val="21"/>
                <w:highlight w:val="yellow"/>
                <w:lang w:val="en-US" w:eastAsia="zh-CN"/>
                <w14:textFill>
                  <w14:solidFill>
                    <w14:schemeClr w14:val="tx1"/>
                  </w14:solidFill>
                </w14:textFill>
              </w:rPr>
              <w:t>20分</w:t>
            </w:r>
            <w:r>
              <w:rPr>
                <w:rFonts w:hint="eastAsia" w:ascii="宋体" w:hAnsi="宋体" w:cs="宋体"/>
                <w:color w:val="000000" w:themeColor="text1"/>
                <w:szCs w:val="21"/>
                <w:highlight w:val="yellow"/>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highlight w:val="yellow"/>
                <w:lang w:val="en-US" w:eastAsia="zh-CN"/>
              </w:rPr>
            </w:pPr>
            <w:r>
              <w:rPr>
                <w:rFonts w:hint="eastAsia"/>
                <w:highlight w:val="yellow"/>
                <w:lang w:val="en-US" w:eastAsia="zh-CN"/>
              </w:rPr>
              <w:t>根据配件的折扣力度在0-5分范围内进行打分</w:t>
            </w:r>
          </w:p>
          <w:p>
            <w:pPr>
              <w:pStyle w:val="2"/>
              <w:numPr>
                <w:ilvl w:val="0"/>
                <w:numId w:val="8"/>
              </w:numPr>
              <w:rPr>
                <w:rFonts w:hint="eastAsia"/>
                <w:highlight w:val="yellow"/>
                <w:lang w:val="en-US" w:eastAsia="zh-CN"/>
              </w:rPr>
            </w:pPr>
            <w:r>
              <w:rPr>
                <w:rFonts w:hint="eastAsia"/>
                <w:highlight w:val="yellow"/>
                <w:lang w:val="en-US" w:eastAsia="zh-CN"/>
              </w:rPr>
              <w:t>根据服务的响应速度在0-5分范围内进行打分</w:t>
            </w:r>
          </w:p>
          <w:p>
            <w:pPr>
              <w:pStyle w:val="2"/>
              <w:numPr>
                <w:ilvl w:val="0"/>
                <w:numId w:val="8"/>
              </w:numPr>
              <w:rPr>
                <w:rFonts w:hint="eastAsia"/>
                <w:highlight w:val="yellow"/>
                <w:lang w:val="en-US" w:eastAsia="zh-CN"/>
              </w:rPr>
            </w:pPr>
            <w:r>
              <w:rPr>
                <w:rFonts w:hint="eastAsia"/>
                <w:highlight w:val="yellow"/>
                <w:lang w:val="en-US" w:eastAsia="zh-CN"/>
              </w:rPr>
              <w:t>承诺提供驻勤维修人员的得6分；</w:t>
            </w:r>
          </w:p>
          <w:p>
            <w:pPr>
              <w:pStyle w:val="2"/>
              <w:numPr>
                <w:ilvl w:val="0"/>
                <w:numId w:val="8"/>
              </w:numPr>
              <w:rPr>
                <w:rFonts w:hint="eastAsia"/>
                <w:highlight w:val="yellow"/>
                <w:lang w:val="en-US" w:eastAsia="zh-CN"/>
              </w:rPr>
            </w:pPr>
            <w:r>
              <w:rPr>
                <w:rFonts w:hint="eastAsia"/>
                <w:highlight w:val="yellow"/>
                <w:lang w:val="en-US" w:eastAsia="zh-CN"/>
              </w:rPr>
              <w:t>根据其他优惠条件在0-4分范围内打分</w:t>
            </w:r>
          </w:p>
        </w:tc>
      </w:tr>
    </w:tbl>
    <w:p>
      <w:pPr>
        <w:pStyle w:val="2"/>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jc w:val="center"/>
        <w:rPr>
          <w:rFonts w:hint="eastAsia" w:ascii="方正小标宋简体" w:hAnsi="方正小标宋简体" w:eastAsia="方正小标宋简体" w:cs="方正小标宋简体"/>
          <w:sz w:val="36"/>
          <w:szCs w:val="36"/>
          <w:u w:val="none"/>
          <w:lang w:eastAsia="zh-CN"/>
        </w:rPr>
      </w:pPr>
      <w:r>
        <w:rPr>
          <w:rFonts w:hint="eastAsia" w:ascii="方正小标宋简体" w:hAnsi="方正小标宋简体" w:eastAsia="方正小标宋简体" w:cs="方正小标宋简体"/>
          <w:sz w:val="36"/>
          <w:szCs w:val="36"/>
          <w:lang w:eastAsia="zh-CN"/>
        </w:rPr>
        <w:t>新郑市公立人民医院</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u w:val="single"/>
          <w:lang w:val="en-US" w:eastAsia="zh-CN"/>
        </w:rPr>
        <w:t xml:space="preserve">    </w:t>
      </w:r>
      <w:r>
        <w:rPr>
          <w:rFonts w:hint="eastAsia" w:ascii="方正小标宋简体" w:hAnsi="方正小标宋简体" w:eastAsia="方正小标宋简体" w:cs="方正小标宋简体"/>
          <w:sz w:val="36"/>
          <w:szCs w:val="36"/>
          <w:u w:val="none"/>
          <w:lang w:eastAsia="zh-CN"/>
        </w:rPr>
        <w:t>维护保养合同</w:t>
      </w:r>
    </w:p>
    <w:p>
      <w:pPr>
        <w:keepNext w:val="0"/>
        <w:keepLines w:val="0"/>
        <w:pageBreakBefore w:val="0"/>
        <w:kinsoku/>
        <w:wordWrap/>
        <w:overflowPunct/>
        <w:topLinePunct w:val="0"/>
        <w:autoSpaceDE/>
        <w:autoSpaceDN/>
        <w:bidi w:val="0"/>
        <w:adjustRightInd/>
        <w:spacing w:beforeAutospacing="0" w:afterAutospacing="0" w:line="324" w:lineRule="auto"/>
        <w:ind w:left="6023" w:right="0" w:rightChars="0" w:hanging="6023" w:hangingChars="2500"/>
        <w:textAlignment w:val="auto"/>
        <w:rPr>
          <w:rFonts w:hint="eastAsia" w:ascii="仿宋_GB2312" w:hAnsi="仿宋_GB2312" w:eastAsia="仿宋_GB2312" w:cs="仿宋_GB2312"/>
          <w:b/>
          <w:sz w:val="24"/>
          <w:lang w:eastAsia="zh-CN"/>
        </w:rPr>
      </w:pPr>
      <w:r>
        <w:rPr>
          <w:rFonts w:hint="eastAsia" w:ascii="仿宋_GB2312" w:hAnsi="仿宋_GB2312" w:eastAsia="仿宋_GB2312" w:cs="仿宋_GB2312"/>
          <w:b/>
          <w:sz w:val="24"/>
          <w:lang w:eastAsia="zh-CN"/>
        </w:rPr>
        <w:t>采购方：（甲方）：新郑市公立人民医院</w:t>
      </w:r>
      <w:r>
        <w:rPr>
          <w:rFonts w:hint="eastAsia" w:ascii="仿宋_GB2312" w:hAnsi="仿宋_GB2312" w:eastAsia="仿宋_GB2312" w:cs="仿宋_GB2312"/>
          <w:b/>
          <w:sz w:val="24"/>
          <w:lang w:val="en-US" w:eastAsia="zh-CN"/>
        </w:rPr>
        <w:t xml:space="preserve">    服务方：（乙方）：</w:t>
      </w:r>
    </w:p>
    <w:p>
      <w:pPr>
        <w:keepNext w:val="0"/>
        <w:keepLines w:val="0"/>
        <w:pageBreakBefore w:val="0"/>
        <w:kinsoku/>
        <w:wordWrap/>
        <w:overflowPunct/>
        <w:topLinePunct w:val="0"/>
        <w:autoSpaceDE/>
        <w:autoSpaceDN/>
        <w:bidi w:val="0"/>
        <w:adjustRightInd/>
        <w:spacing w:beforeAutospacing="0" w:afterAutospacing="0" w:line="324" w:lineRule="auto"/>
        <w:ind w:left="5301" w:right="0" w:rightChars="0" w:hanging="5301" w:hangingChars="2200"/>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eastAsia="zh-CN"/>
        </w:rPr>
        <w:t>地址：</w:t>
      </w:r>
      <w:r>
        <w:rPr>
          <w:rFonts w:hint="eastAsia" w:ascii="仿宋_GB2312" w:hAnsi="仿宋_GB2312" w:eastAsia="仿宋_GB2312" w:cs="仿宋_GB2312"/>
          <w:b/>
          <w:sz w:val="24"/>
          <w:lang w:val="en-US" w:eastAsia="zh-CN"/>
        </w:rPr>
        <w:t xml:space="preserve">河南省新郑市中华南路            地址：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textAlignment w:val="auto"/>
        <w:rPr>
          <w:rFonts w:hint="eastAsia" w:ascii="仿宋_GB2312" w:hAnsi="仿宋_GB2312" w:eastAsia="仿宋_GB2312" w:cs="仿宋_GB2312"/>
          <w:b/>
          <w:sz w:val="24"/>
          <w:lang w:val="en-US" w:eastAsia="zh-CN"/>
        </w:rPr>
      </w:pPr>
      <w:r>
        <w:rPr>
          <w:rFonts w:hint="eastAsia" w:ascii="仿宋_GB2312" w:hAnsi="仿宋_GB2312" w:eastAsia="仿宋_GB2312" w:cs="仿宋_GB2312"/>
          <w:b/>
          <w:sz w:val="24"/>
          <w:lang w:val="en-US" w:eastAsia="zh-CN"/>
        </w:rPr>
        <w:t xml:space="preserve">联系电话：0371-69952699               联系电话：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根据《民法典》以及相关法律法规的规定，经甲、乙双方协商，就甲方采购乙方中央空调主机及附属设备维护保养服务事宜，双方自愿签订如下合同。</w:t>
      </w:r>
    </w:p>
    <w:p>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第一条 服务发生所在地及价格</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维护保养服务发生所在地位新郑市公立人民医院院区中央空调主机机房；维护保养服务费用为</w:t>
      </w:r>
      <w:r>
        <w:rPr>
          <w:rFonts w:hint="eastAsia" w:ascii="仿宋_GB2312" w:hAnsi="仿宋_GB2312" w:eastAsia="仿宋_GB2312" w:cs="仿宋_GB2312"/>
          <w:sz w:val="24"/>
          <w:u w:val="single"/>
          <w:lang w:val="en-US" w:eastAsia="zh-CN"/>
        </w:rPr>
        <w:t xml:space="preserve">         元/年</w:t>
      </w:r>
      <w:r>
        <w:rPr>
          <w:rFonts w:hint="eastAsia" w:ascii="仿宋_GB2312" w:hAnsi="仿宋_GB2312" w:eastAsia="仿宋_GB2312" w:cs="仿宋_GB2312"/>
          <w:sz w:val="24"/>
          <w:lang w:val="en-US" w:eastAsia="zh-CN"/>
        </w:rPr>
        <w:t>。</w:t>
      </w:r>
    </w:p>
    <w:p>
      <w:pPr>
        <w:keepNext w:val="0"/>
        <w:keepLines w:val="0"/>
        <w:pageBreakBefore w:val="0"/>
        <w:numPr>
          <w:ilvl w:val="0"/>
          <w:numId w:val="9"/>
        </w:numPr>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维护保养服务内容</w:t>
      </w:r>
    </w:p>
    <w:p>
      <w:pPr>
        <w:spacing w:line="36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维保范围：风冷模块机组18台、净化空调机组33台、新风机组54台、精密空调机组6台、多联机11台、中央空调地源热泵离心机3台，冷冻水系统维护、风系统维护等空调系统。</w:t>
      </w:r>
    </w:p>
    <w:p>
      <w:pPr>
        <w:pStyle w:val="6"/>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维保要求：提供空调的换季维护保养、应急服务维修、配件维修更换、技术支持。保证医院设备常年的正常工作。</w:t>
      </w:r>
    </w:p>
    <w:p>
      <w:pPr>
        <w:spacing w:line="36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特灵机组年度换季保养2次，运行季每月2次常规保养（制冷季5月20日至9月20日，制热季11月15日至次年3月15日）；定期更换压缩机冷冻油，油过滤器，冷媒干燥过滤器；不含末端风机盘管维护、不含水系统除垢处理。</w:t>
      </w:r>
    </w:p>
    <w:p>
      <w:pPr>
        <w:spacing w:line="36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(2)28台雅士品牌净化空调机组年度维护保养，根据室内洁净度情况及时更换过滤网。换季对主机进行维护，电控柜除尘检查电路。冬季对加湿器水垢至少清洗一次。</w:t>
      </w:r>
    </w:p>
    <w:p>
      <w:pPr>
        <w:spacing w:line="360" w:lineRule="auto"/>
        <w:ind w:left="559" w:leftChars="266" w:firstLine="0" w:firstLineChars="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(3)54台新风机组主机换季进行维护，定期更换过滤网。</w:t>
      </w:r>
    </w:p>
    <w:p>
      <w:pPr>
        <w:spacing w:line="360" w:lineRule="auto"/>
        <w:ind w:left="559" w:leftChars="266" w:firstLine="0" w:firstLineChars="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(4)3台克莱门特精密空调、3台华为精密空调机组维护保养；</w:t>
      </w:r>
    </w:p>
    <w:p>
      <w:pPr>
        <w:spacing w:line="360" w:lineRule="auto"/>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含定期更换过滤网，清洗加湿罐，更换风机皮带，清洗室外机；</w:t>
      </w:r>
    </w:p>
    <w:p>
      <w:pPr>
        <w:spacing w:line="360" w:lineRule="auto"/>
        <w:ind w:firstLine="480" w:firstLineChars="200"/>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(5)11组富士通多联机组空调系统进行维护保养，定期冲洗室外机；</w:t>
      </w:r>
    </w:p>
    <w:p>
      <w:pPr>
        <w:spacing w:line="360" w:lineRule="auto"/>
        <w:ind w:firstLine="480" w:firstLineChars="200"/>
        <w:rPr>
          <w:rFonts w:hint="default"/>
          <w:sz w:val="24"/>
          <w:szCs w:val="24"/>
          <w:lang w:val="en-US" w:eastAsia="zh-CN"/>
        </w:rPr>
      </w:pPr>
      <w:r>
        <w:rPr>
          <w:rFonts w:hint="eastAsia" w:ascii="仿宋_GB2312" w:hAnsi="仿宋_GB2312" w:eastAsia="仿宋_GB2312" w:cs="仿宋_GB2312"/>
          <w:b w:val="0"/>
          <w:bCs/>
          <w:sz w:val="24"/>
          <w:szCs w:val="24"/>
          <w:lang w:val="en-US" w:eastAsia="zh-CN"/>
        </w:rPr>
        <w:t>(6）18台风冷模块机主机维护，清洗室外机，电控柜除尘检查电路。不含末端维护保养。</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第三条 服务周期</w:t>
      </w:r>
    </w:p>
    <w:p>
      <w:pPr>
        <w:pStyle w:val="2"/>
        <w:rPr>
          <w:rFonts w:hint="eastAsia" w:ascii="仿宋_GB2312" w:hAnsi="仿宋_GB2312" w:eastAsia="仿宋_GB2312" w:cs="仿宋_GB2312"/>
          <w:b w:val="0"/>
          <w:bCs w:val="0"/>
          <w:highlight w:val="none"/>
          <w:lang w:val="en-US" w:eastAsia="zh-CN"/>
        </w:rPr>
      </w:pPr>
      <w:r>
        <w:rPr>
          <w:rFonts w:hint="eastAsia" w:ascii="仿宋_GB2312" w:hAnsi="仿宋_GB2312" w:eastAsia="仿宋_GB2312" w:cs="仿宋_GB2312"/>
          <w:b/>
          <w:bCs/>
          <w:sz w:val="24"/>
          <w:highlight w:val="none"/>
          <w:lang w:val="en-US" w:eastAsia="zh-CN"/>
        </w:rPr>
        <w:t xml:space="preserve">   </w:t>
      </w:r>
      <w:r>
        <w:rPr>
          <w:rFonts w:hint="eastAsia" w:ascii="仿宋_GB2312" w:hAnsi="仿宋_GB2312" w:eastAsia="仿宋_GB2312" w:cs="仿宋_GB2312"/>
          <w:b w:val="0"/>
          <w:bCs w:val="0"/>
          <w:sz w:val="24"/>
          <w:highlight w:val="none"/>
          <w:lang w:val="en-US" w:eastAsia="zh-CN"/>
        </w:rPr>
        <w:t xml:space="preserve"> 自合同签订之日起生效，合同期限为1年。</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b/>
          <w:bCs/>
          <w:sz w:val="24"/>
          <w:highlight w:val="none"/>
          <w:lang w:val="en-US" w:eastAsia="zh-CN"/>
        </w:rPr>
        <w:t>第四条 验收标准及方式</w:t>
      </w:r>
      <w:r>
        <w:rPr>
          <w:rFonts w:hint="eastAsia" w:ascii="仿宋_GB2312" w:hAnsi="仿宋_GB2312" w:eastAsia="仿宋_GB2312" w:cs="仿宋_GB2312"/>
          <w:sz w:val="24"/>
          <w:highlight w:val="none"/>
          <w:lang w:val="en-US" w:eastAsia="zh-CN"/>
        </w:rPr>
        <w:t xml:space="preserve"> </w:t>
      </w:r>
    </w:p>
    <w:p>
      <w:pPr>
        <w:rPr>
          <w:rFonts w:hint="eastAsia" w:ascii="仿宋_GB2312" w:hAnsi="仿宋_GB2312" w:eastAsia="仿宋_GB2312" w:cs="仿宋_GB2312"/>
          <w:sz w:val="24"/>
          <w:szCs w:val="2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pStyle w:val="2"/>
        <w:ind w:firstLine="480" w:firstLineChars="200"/>
        <w:rPr>
          <w:rFonts w:hint="eastAsia" w:ascii="仿宋_GB2312" w:hAnsi="仿宋_GB2312" w:eastAsia="仿宋_GB2312" w:cs="仿宋_GB2312"/>
          <w:highlight w:val="none"/>
          <w:lang w:val="en-US" w:eastAsia="zh-CN"/>
        </w:rPr>
      </w:pPr>
      <w:r>
        <w:rPr>
          <w:rFonts w:hint="eastAsia" w:ascii="仿宋_GB2312" w:hAnsi="仿宋_GB2312" w:eastAsia="仿宋_GB2312" w:cs="仿宋_GB2312"/>
          <w:sz w:val="24"/>
          <w:highlight w:val="none"/>
          <w:lang w:val="en-US" w:eastAsia="zh-CN"/>
        </w:rPr>
        <w:t>每次保养完毕后，乙方自检后请示甲方进行工程验收。</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1.因空调维保中标单位驻场人员脱岗（接报故障30分钟内未到达现场视为人员脱岗）影响院内正常工作开展，责任由维保单位承担，且单次考核200元。</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2.因空调维保不到位、不及时造成空调故障或维修成本提高的，责任事故由维保单位承担，且单次考核200元。</w:t>
      </w:r>
    </w:p>
    <w:p>
      <w:pPr>
        <w:keepNext w:val="0"/>
        <w:keepLines w:val="0"/>
        <w:pageBreakBefore w:val="0"/>
        <w:widowControl w:val="0"/>
        <w:kinsoku/>
        <w:wordWrap/>
        <w:overflowPunct/>
        <w:topLinePunct w:val="0"/>
        <w:autoSpaceDE/>
        <w:autoSpaceDN/>
        <w:bidi w:val="0"/>
        <w:adjustRightInd/>
        <w:snapToGrid/>
        <w:spacing w:line="578" w:lineRule="exact"/>
        <w:ind w:firstLine="480" w:firstLineChars="200"/>
        <w:textAlignment w:val="auto"/>
        <w:outlineLvl w:val="9"/>
        <w:rPr>
          <w:rFonts w:hint="eastAsia" w:ascii="仿宋_GB2312" w:hAnsi="仿宋_GB2312" w:eastAsia="仿宋_GB2312" w:cs="仿宋_GB2312"/>
          <w:b w:val="0"/>
          <w:bCs/>
          <w:sz w:val="24"/>
          <w:szCs w:val="24"/>
          <w:lang w:val="en-US" w:eastAsia="zh-CN"/>
        </w:rPr>
      </w:pPr>
      <w:r>
        <w:rPr>
          <w:rFonts w:hint="eastAsia" w:ascii="仿宋_GB2312" w:hAnsi="仿宋_GB2312" w:eastAsia="仿宋_GB2312" w:cs="仿宋_GB2312"/>
          <w:b w:val="0"/>
          <w:bCs/>
          <w:sz w:val="24"/>
          <w:szCs w:val="24"/>
          <w:lang w:val="en-US" w:eastAsia="zh-CN"/>
        </w:rPr>
        <w:t>3.遵守医院的管理规定，贯彻医院的“病人的需要是第一位的”服务理念。因服务态度及工作方式等遭投诉的需提交书面整改报告，三次以上类似投诉的单次考核50元进行累计罚款。</w:t>
      </w:r>
    </w:p>
    <w:p>
      <w:pPr>
        <w:spacing w:after="60"/>
        <w:rPr>
          <w:rFonts w:hint="eastAsia" w:ascii="仿宋_GB2312" w:hAnsi="仿宋_GB2312" w:eastAsia="仿宋_GB2312" w:cs="仿宋_GB2312"/>
          <w:sz w:val="24"/>
          <w:szCs w:val="24"/>
        </w:rPr>
      </w:pPr>
    </w:p>
    <w:p>
      <w:pPr>
        <w:spacing w:after="6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上述合同总价包括合同第</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rPr>
        <w:t>条所述工作内容及上表所列的保养所需基本配件和消耗品：</w:t>
      </w:r>
    </w:p>
    <w:p>
      <w:pPr>
        <w:spacing w:after="60"/>
        <w:rPr>
          <w:rFonts w:hint="eastAsia" w:ascii="仿宋_GB2312" w:hAnsi="仿宋_GB2312" w:eastAsia="仿宋_GB2312" w:cs="仿宋_GB2312"/>
          <w:sz w:val="24"/>
          <w:szCs w:val="24"/>
        </w:rPr>
      </w:pPr>
    </w:p>
    <w:p>
      <w:pPr>
        <w:spacing w:after="60"/>
        <w:ind w:left="126" w:leftChars="6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但合同总价</w:t>
      </w:r>
      <w:r>
        <w:rPr>
          <w:rFonts w:hint="eastAsia" w:ascii="仿宋_GB2312" w:hAnsi="仿宋_GB2312" w:eastAsia="仿宋_GB2312" w:cs="仿宋_GB2312"/>
          <w:b/>
          <w:sz w:val="24"/>
          <w:szCs w:val="24"/>
        </w:rPr>
        <w:t>不包括</w:t>
      </w:r>
      <w:r>
        <w:rPr>
          <w:rFonts w:hint="eastAsia" w:ascii="仿宋_GB2312" w:hAnsi="仿宋_GB2312" w:eastAsia="仿宋_GB2312" w:cs="仿宋_GB2312"/>
          <w:sz w:val="24"/>
          <w:szCs w:val="24"/>
        </w:rPr>
        <w:t>提供以下内容：</w:t>
      </w:r>
    </w:p>
    <w:p>
      <w:pPr>
        <w:widowControl/>
        <w:numPr>
          <w:ilvl w:val="0"/>
          <w:numId w:val="10"/>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除上表所列的保养所需基本配件和消耗品之外的其他配件及物料（配件及物料由甲方提供或由乙方报价另行收费）。</w:t>
      </w:r>
    </w:p>
    <w:p>
      <w:pPr>
        <w:widowControl/>
        <w:numPr>
          <w:ilvl w:val="0"/>
          <w:numId w:val="10"/>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除本合同第</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条及附件所述之外的服务工作。</w:t>
      </w:r>
    </w:p>
    <w:p>
      <w:pPr>
        <w:widowControl/>
        <w:numPr>
          <w:ilvl w:val="0"/>
          <w:numId w:val="10"/>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机组以外的设备故障排除服务工作。</w:t>
      </w:r>
    </w:p>
    <w:p>
      <w:pPr>
        <w:widowControl/>
        <w:numPr>
          <w:ilvl w:val="0"/>
          <w:numId w:val="10"/>
        </w:numPr>
        <w:tabs>
          <w:tab w:val="left" w:pos="600"/>
          <w:tab w:val="clear" w:pos="360"/>
        </w:tabs>
        <w:autoSpaceDE w:val="0"/>
        <w:autoSpaceDN w:val="0"/>
        <w:spacing w:after="60"/>
        <w:ind w:left="595" w:hanging="357"/>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由于外部因素引起的故障或损坏的故障排除服务工作（如水管破裂、地震或其它人力不可抗拒的事故） </w:t>
      </w:r>
    </w:p>
    <w:p>
      <w:pPr>
        <w:widowControl/>
        <w:numPr>
          <w:ilvl w:val="0"/>
          <w:numId w:val="11"/>
        </w:numPr>
        <w:autoSpaceDE w:val="0"/>
        <w:autoSpaceDN w:val="0"/>
        <w:ind w:left="647" w:leftChars="0" w:firstLineChars="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付款方式：</w:t>
      </w:r>
    </w:p>
    <w:p>
      <w:pPr>
        <w:widowControl/>
        <w:numPr>
          <w:ilvl w:val="0"/>
          <w:numId w:val="12"/>
        </w:numPr>
        <w:autoSpaceDE w:val="0"/>
        <w:autoSpaceDN w:val="0"/>
        <w:spacing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本合同签订后[ 30]天，甲方支付合同总价的50%，即人民币</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(RMB</w:t>
      </w:r>
      <w:r>
        <w:rPr>
          <w:rFonts w:hint="eastAsia" w:ascii="仿宋_GB2312" w:hAnsi="仿宋_GB2312" w:eastAsia="仿宋_GB2312" w:cs="仿宋_GB2312"/>
          <w:sz w:val="24"/>
          <w:szCs w:val="24"/>
          <w:u w:val="none"/>
        </w:rPr>
        <w:sym w:font="Courier New" w:char="00A5"/>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rPr>
        <w:t>) 给乙方。</w:t>
      </w:r>
    </w:p>
    <w:p>
      <w:pPr>
        <w:widowControl/>
        <w:numPr>
          <w:ilvl w:val="0"/>
          <w:numId w:val="12"/>
        </w:numPr>
        <w:autoSpaceDE w:val="0"/>
        <w:autoSpaceDN w:val="0"/>
        <w:spacing w:after="60"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合同结束后，应向甲方</w:t>
      </w:r>
      <w:r>
        <w:rPr>
          <w:rFonts w:hint="eastAsia" w:ascii="仿宋_GB2312" w:hAnsi="仿宋_GB2312" w:eastAsia="仿宋_GB2312" w:cs="仿宋_GB2312"/>
          <w:sz w:val="24"/>
          <w:szCs w:val="24"/>
          <w:lang w:eastAsia="zh-CN"/>
        </w:rPr>
        <w:t>提供相应的增值税发票</w:t>
      </w:r>
      <w:r>
        <w:rPr>
          <w:rFonts w:hint="eastAsia" w:ascii="仿宋_GB2312" w:hAnsi="仿宋_GB2312" w:eastAsia="仿宋_GB2312" w:cs="仿宋_GB2312"/>
          <w:sz w:val="24"/>
          <w:szCs w:val="24"/>
        </w:rPr>
        <w:t>，甲方收到乙方</w:t>
      </w:r>
      <w:r>
        <w:rPr>
          <w:rFonts w:hint="eastAsia" w:ascii="仿宋_GB2312" w:hAnsi="仿宋_GB2312" w:eastAsia="仿宋_GB2312" w:cs="仿宋_GB2312"/>
          <w:sz w:val="24"/>
          <w:szCs w:val="24"/>
          <w:lang w:eastAsia="zh-CN"/>
        </w:rPr>
        <w:t>提供的发票</w:t>
      </w:r>
      <w:r>
        <w:rPr>
          <w:rFonts w:hint="eastAsia" w:ascii="仿宋_GB2312" w:hAnsi="仿宋_GB2312" w:eastAsia="仿宋_GB2312" w:cs="仿宋_GB2312"/>
          <w:sz w:val="24"/>
          <w:szCs w:val="24"/>
        </w:rPr>
        <w:t>后[ 15]日内应向乙方支付剩余50%的款项。</w:t>
      </w:r>
    </w:p>
    <w:p>
      <w:pPr>
        <w:widowControl/>
        <w:numPr>
          <w:ilvl w:val="0"/>
          <w:numId w:val="12"/>
        </w:numPr>
        <w:autoSpaceDE w:val="0"/>
        <w:autoSpaceDN w:val="0"/>
        <w:spacing w:after="60" w:line="360" w:lineRule="auto"/>
        <w:jc w:val="left"/>
        <w:rPr>
          <w:rFonts w:hint="default" w:ascii="仿宋_GB2312" w:hAnsi="仿宋_GB2312" w:eastAsia="仿宋_GB2312" w:cs="仿宋_GB2312"/>
          <w:sz w:val="24"/>
          <w:szCs w:val="24"/>
          <w:lang w:val="en-US"/>
        </w:rPr>
      </w:pPr>
      <w:r>
        <w:rPr>
          <w:rFonts w:hint="eastAsia" w:ascii="仿宋_GB2312" w:hAnsi="仿宋_GB2312" w:eastAsia="仿宋_GB2312" w:cs="仿宋_GB2312"/>
          <w:sz w:val="24"/>
          <w:szCs w:val="24"/>
        </w:rPr>
        <w:t>乙方收款帐号：</w:t>
      </w:r>
      <w:r>
        <w:rPr>
          <w:rFonts w:hint="eastAsia" w:ascii="仿宋_GB2312" w:hAnsi="仿宋_GB2312" w:eastAsia="仿宋_GB2312" w:cs="仿宋_GB2312"/>
          <w:sz w:val="24"/>
          <w:szCs w:val="24"/>
          <w:lang w:val="en-US" w:eastAsia="zh-CN"/>
        </w:rPr>
        <w:t xml:space="preserve"> </w:t>
      </w:r>
    </w:p>
    <w:p>
      <w:pPr>
        <w:spacing w:after="60"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开户银行： </w:t>
      </w:r>
    </w:p>
    <w:p>
      <w:pPr>
        <w:spacing w:after="60" w:line="360" w:lineRule="auto"/>
        <w:ind w:left="42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帐    号：</w:t>
      </w:r>
    </w:p>
    <w:p>
      <w:pPr>
        <w:widowControl/>
        <w:numPr>
          <w:ilvl w:val="0"/>
          <w:numId w:val="12"/>
        </w:numPr>
        <w:autoSpaceDE w:val="0"/>
        <w:autoSpaceDN w:val="0"/>
        <w:spacing w:after="60" w:line="36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发票</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乙方提供甲方增值税普通发票。</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bookmarkStart w:id="0" w:name="Check2"/>
    </w:p>
    <w:bookmarkEnd w:id="0"/>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如甲方需要乙方提供增值税发票，甲方需要提供乙方以下资料：</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公司名称：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公司地址：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开户银行：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    话： </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帐   号：</w:t>
      </w:r>
    </w:p>
    <w:p>
      <w:pPr>
        <w:spacing w:after="60" w:line="360" w:lineRule="auto"/>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税   号： </w:t>
      </w:r>
    </w:p>
    <w:p>
      <w:pPr>
        <w:spacing w:after="60"/>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第五条 甲方责任与权利</w:t>
      </w:r>
    </w:p>
    <w:p>
      <w:pPr>
        <w:widowControl/>
        <w:numPr>
          <w:ilvl w:val="0"/>
          <w:numId w:val="13"/>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合同签订前，甲方各空调设备应处良好及正常状况，并提供设备说明书及调试报告给乙方；</w:t>
      </w:r>
    </w:p>
    <w:p>
      <w:pPr>
        <w:widowControl/>
        <w:numPr>
          <w:ilvl w:val="0"/>
          <w:numId w:val="13"/>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甲方按合同规定按时支付保养款项</w:t>
      </w:r>
      <w:r>
        <w:rPr>
          <w:rFonts w:hint="eastAsia" w:ascii="仿宋_GB2312" w:hAnsi="仿宋_GB2312" w:eastAsia="仿宋_GB2312" w:cs="仿宋_GB2312"/>
          <w:sz w:val="24"/>
          <w:szCs w:val="24"/>
          <w:lang w:eastAsia="zh-CN"/>
        </w:rPr>
        <w:t>。</w:t>
      </w:r>
    </w:p>
    <w:p>
      <w:pPr>
        <w:widowControl/>
        <w:numPr>
          <w:ilvl w:val="0"/>
          <w:numId w:val="13"/>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合同期内，未经乙方许可，甲方不得擅自修理及拆卸设备元件等；</w:t>
      </w:r>
    </w:p>
    <w:p>
      <w:pPr>
        <w:widowControl/>
        <w:numPr>
          <w:ilvl w:val="0"/>
          <w:numId w:val="13"/>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若乙方未能按冷冻机年检检查项目细则要求进行保养工作，甲方保留提前解除合同的权利。</w:t>
      </w:r>
    </w:p>
    <w:p>
      <w:pPr>
        <w:widowControl/>
        <w:numPr>
          <w:ilvl w:val="0"/>
          <w:numId w:val="13"/>
        </w:numPr>
        <w:autoSpaceDE w:val="0"/>
        <w:autoSpaceDN w:val="0"/>
        <w:spacing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因甲方原因导致乙方无法按照本合同第3条所述完成全部工作内容的，双方应合同期限续延或变更相关事宜进行协商并另行达成本合同的书面补充协议。如本合同期限到期后，因甲方原因双方未能达成上述补充协议的，乙方有权停止本合同下的工作内容或者单方面终止本合同。对于合同终止前乙方已经提供的服务，甲方仍应根据本合同向乙方支付相应款项。</w:t>
      </w:r>
    </w:p>
    <w:p>
      <w:pPr>
        <w:widowControl/>
        <w:numPr>
          <w:ilvl w:val="0"/>
          <w:numId w:val="13"/>
        </w:numPr>
        <w:autoSpaceDE w:val="0"/>
        <w:autoSpaceDN w:val="0"/>
        <w:spacing w:after="6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完成每次服务后，甲方应在本合同附录一的工作单上盖章或指定其相关人员签字，以确认乙方已完成该次服务内容。甲方指定以下人员代表其签署与本合同工作内容的工作单，并应尽量确保由下述人员签署乙方工作单。</w:t>
      </w:r>
    </w:p>
    <w:p>
      <w:pPr>
        <w:widowControl/>
        <w:autoSpaceDE w:val="0"/>
        <w:autoSpaceDN w:val="0"/>
        <w:ind w:left="360"/>
        <w:jc w:val="lef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highlight w:val="none"/>
          <w:lang w:val="en-US" w:eastAsia="zh-CN"/>
        </w:rPr>
      </w:pPr>
      <w:r>
        <w:rPr>
          <w:rFonts w:hint="eastAsia" w:ascii="仿宋_GB2312" w:hAnsi="仿宋_GB2312" w:eastAsia="仿宋_GB2312" w:cs="仿宋_GB2312"/>
          <w:b/>
          <w:bCs/>
          <w:sz w:val="24"/>
          <w:highlight w:val="none"/>
          <w:lang w:val="en-US" w:eastAsia="zh-CN"/>
        </w:rPr>
        <w:t>第六条 乙方责任与权利</w:t>
      </w:r>
    </w:p>
    <w:p>
      <w:pPr>
        <w:widowControl/>
        <w:numPr>
          <w:ilvl w:val="0"/>
          <w:numId w:val="14"/>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若甲方未按合同规定支付相关款项，乙方有权中止合同并停止提供服务，直至款项付清为止；若甲方逾期付款超过三十（30）天以上的，乙方有权单方面解除合同。本条款以上规定不影响、也不减损本合同以及相关法律赋予乙方的任何其他权利、救济。</w:t>
      </w:r>
    </w:p>
    <w:p>
      <w:pPr>
        <w:widowControl/>
        <w:numPr>
          <w:ilvl w:val="0"/>
          <w:numId w:val="14"/>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提供良好的技术人员和工具仪器，最佳的服务质量和态度，严格按照特灵机组的保养标准做好维护保养工作，并认真填写运行报告，使设备处于良好运行状态由于乙方技术人员操作不当引起的故障或损坏，由乙方负责排除故障；</w:t>
      </w:r>
    </w:p>
    <w:p>
      <w:pPr>
        <w:widowControl/>
        <w:numPr>
          <w:ilvl w:val="0"/>
          <w:numId w:val="14"/>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乙方技术人员工作期间，需佩戴工作证，在空调设备出现故障时，应提出书面解决方案供甲方参考；</w:t>
      </w:r>
    </w:p>
    <w:p>
      <w:pPr>
        <w:widowControl/>
        <w:numPr>
          <w:ilvl w:val="0"/>
          <w:numId w:val="14"/>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每次保养结束后，乙方将向甲方提供检查报告及故障隐患清除之建议；</w:t>
      </w:r>
    </w:p>
    <w:p>
      <w:pPr>
        <w:widowControl/>
        <w:numPr>
          <w:ilvl w:val="0"/>
          <w:numId w:val="14"/>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定期保养时间应提前</w:t>
      </w:r>
      <w:bookmarkStart w:id="1" w:name="Text1"/>
      <w:r>
        <w:rPr>
          <w:rFonts w:hint="eastAsia" w:ascii="仿宋_GB2312" w:hAnsi="仿宋_GB2312" w:eastAsia="仿宋_GB2312" w:cs="仿宋_GB2312"/>
          <w:sz w:val="24"/>
          <w:szCs w:val="24"/>
        </w:rPr>
        <w:fldChar w:fldCharType="begin">
          <w:ffData>
            <w:name w:val="Text1"/>
            <w:enabled/>
            <w:calcOnExit w:val="0"/>
            <w:textInput>
              <w:default w:val="一周"/>
            </w:textInput>
          </w:ffData>
        </w:fldChar>
      </w:r>
      <w:r>
        <w:rPr>
          <w:rFonts w:hint="eastAsia" w:ascii="仿宋_GB2312" w:hAnsi="仿宋_GB2312" w:eastAsia="仿宋_GB2312" w:cs="仿宋_GB2312"/>
          <w:sz w:val="24"/>
          <w:szCs w:val="24"/>
        </w:rPr>
        <w:instrText xml:space="preserve"> FORMTEXT </w:instrText>
      </w:r>
      <w:r>
        <w:rPr>
          <w:rFonts w:hint="eastAsia" w:ascii="仿宋_GB2312" w:hAnsi="仿宋_GB2312" w:eastAsia="仿宋_GB2312" w:cs="仿宋_GB2312"/>
          <w:sz w:val="24"/>
          <w:szCs w:val="24"/>
        </w:rPr>
        <w:fldChar w:fldCharType="separate"/>
      </w:r>
      <w:r>
        <w:rPr>
          <w:rFonts w:hint="eastAsia" w:ascii="仿宋_GB2312" w:hAnsi="仿宋_GB2312" w:eastAsia="仿宋_GB2312" w:cs="仿宋_GB2312"/>
          <w:sz w:val="24"/>
          <w:szCs w:val="24"/>
        </w:rPr>
        <w:t>一周</w:t>
      </w:r>
      <w:r>
        <w:rPr>
          <w:rFonts w:hint="eastAsia" w:ascii="仿宋_GB2312" w:hAnsi="仿宋_GB2312" w:eastAsia="仿宋_GB2312" w:cs="仿宋_GB2312"/>
          <w:sz w:val="24"/>
          <w:szCs w:val="24"/>
        </w:rPr>
        <w:fldChar w:fldCharType="end"/>
      </w:r>
      <w:bookmarkEnd w:id="1"/>
      <w:r>
        <w:rPr>
          <w:rFonts w:hint="eastAsia" w:ascii="仿宋_GB2312" w:hAnsi="仿宋_GB2312" w:eastAsia="仿宋_GB2312" w:cs="仿宋_GB2312"/>
          <w:sz w:val="24"/>
          <w:szCs w:val="24"/>
        </w:rPr>
        <w:t>通知甲方，以便甲方提前安排，不致影响正常的生产；</w:t>
      </w:r>
    </w:p>
    <w:p>
      <w:pPr>
        <w:widowControl/>
        <w:numPr>
          <w:ilvl w:val="0"/>
          <w:numId w:val="14"/>
        </w:numPr>
        <w:autoSpaceDE w:val="0"/>
        <w:autoSpaceDN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乙方负责提供备件供应商清单以便甲方购买，或由乙方提供配件（费用另行报价）；</w:t>
      </w:r>
    </w:p>
    <w:p>
      <w:pPr>
        <w:widowControl/>
        <w:autoSpaceDE w:val="0"/>
        <w:autoSpaceDN w:val="0"/>
        <w:jc w:val="left"/>
        <w:rPr>
          <w:rFonts w:hint="eastAsia" w:ascii="仿宋_GB2312" w:hAnsi="仿宋_GB2312" w:eastAsia="仿宋_GB2312" w:cs="仿宋_GB2312"/>
          <w:sz w:val="24"/>
          <w:szCs w:val="24"/>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b/>
          <w:bCs/>
          <w:sz w:val="24"/>
          <w:lang w:val="en-US" w:eastAsia="zh-CN"/>
        </w:rPr>
        <w:t>第七条 不可抗力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甲、乙任何一方由于不可抗力原因不能履行合同同时，应及时向对方通报不能履行或不能完全履行的理由，以减轻可能给对方造成的损失。</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第八条 争议解决方法</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甲、乙双方因履行本合同发生争议时，应友好协商；如协商未果，由甲方住所地人民法院管辖。</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2" w:firstLineChars="200"/>
        <w:textAlignment w:val="auto"/>
        <w:rPr>
          <w:rFonts w:hint="eastAsia" w:ascii="仿宋_GB2312" w:hAnsi="仿宋_GB2312" w:eastAsia="仿宋_GB2312" w:cs="仿宋_GB2312"/>
          <w:b/>
          <w:bCs/>
          <w:sz w:val="24"/>
          <w:lang w:val="en-US" w:eastAsia="zh-CN"/>
        </w:rPr>
      </w:pPr>
      <w:r>
        <w:rPr>
          <w:rFonts w:hint="eastAsia" w:ascii="仿宋_GB2312" w:hAnsi="仿宋_GB2312" w:eastAsia="仿宋_GB2312" w:cs="仿宋_GB2312"/>
          <w:b/>
          <w:bCs/>
          <w:sz w:val="24"/>
          <w:lang w:val="en-US" w:eastAsia="zh-CN"/>
        </w:rPr>
        <w:t>第九条 其它</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本合同未尽事宜，双方应本着友好协商的精神，根据本合同书确定的原则，从实际需要出发达成协议，所作的补充协议书具有与本合同书同等的法律效力。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合同附件及形成本项目的招标文件、投标文件、《成交通知书》均为本合同不可分割的组成部分，与本合同具有同等的法律效力。</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本合同一式伍份，甲方执肆份，乙方执壹份，自双方签约代表签字、盖章之日起生效。</w:t>
      </w:r>
    </w:p>
    <w:p>
      <w:pPr>
        <w:keepNext w:val="0"/>
        <w:keepLines w:val="0"/>
        <w:pageBreakBefore w:val="0"/>
        <w:widowControl/>
        <w:kinsoku/>
        <w:wordWrap/>
        <w:overflowPunct/>
        <w:topLinePunct w:val="0"/>
        <w:autoSpaceDE/>
        <w:autoSpaceDN/>
        <w:bidi w:val="0"/>
        <w:adjustRightInd/>
        <w:spacing w:beforeAutospacing="0" w:afterAutospacing="0" w:line="324" w:lineRule="auto"/>
        <w:ind w:left="1550" w:right="0" w:rightChars="0" w:hanging="1550" w:hangingChars="646"/>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甲方（盖章）                                    乙方（盖章）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签约代表                                        签约代表                   </w:t>
      </w: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p>
    <w:p>
      <w:pPr>
        <w:keepNext w:val="0"/>
        <w:keepLines w:val="0"/>
        <w:pageBreakBefore w:val="0"/>
        <w:kinsoku/>
        <w:wordWrap/>
        <w:overflowPunct/>
        <w:topLinePunct w:val="0"/>
        <w:autoSpaceDE/>
        <w:autoSpaceDN/>
        <w:bidi w:val="0"/>
        <w:adjustRightInd/>
        <w:spacing w:beforeAutospacing="0" w:afterAutospacing="0" w:line="324" w:lineRule="auto"/>
        <w:ind w:right="0" w:rightChars="0" w:firstLine="480" w:firstLineChars="200"/>
        <w:textAlignment w:val="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 xml:space="preserve"> 年     月      日                               年    月      日 </w:t>
      </w:r>
    </w:p>
    <w:p>
      <w:pPr>
        <w:pStyle w:val="2"/>
        <w:rPr>
          <w:rFonts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32"/>
          <w:szCs w:val="32"/>
        </w:rPr>
      </w:pPr>
    </w:p>
    <w:p>
      <w:pPr>
        <w:jc w:val="both"/>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1312"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1312;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PWwdGdkAAAALAQAA&#10;DwAAAAAAAAABACAAAAAiAAAAZHJzL2Rvd25yZXYueG1sUEsBAhQAFAAAAAgAh07iQMKUDywYAgAA&#10;UAQAAA4AAAAAAAAAAQAgAAAAKAEAAGRycy9lMm9Eb2MueG1sUEsFBgAAAAAGAAYAWQEAALIFAAAA&#10;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宋体" w:hAnsi="宋体"/>
          <w:b/>
          <w:color w:val="000000"/>
          <w:sz w:val="32"/>
          <w:szCs w:val="3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0"/>
        <w:tblW w:w="957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2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22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229"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229" w:type="dxa"/>
            <w:vAlign w:val="center"/>
          </w:tcPr>
          <w:p>
            <w:pPr>
              <w:jc w:val="left"/>
              <w:rPr>
                <w:rFonts w:hint="default"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格式见附件2（不得缺项空项，且必须有总价）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rPr>
              <w:t>法人授权委托书格式见附件</w:t>
            </w:r>
            <w:r>
              <w:rPr>
                <w:rFonts w:hint="eastAsia" w:ascii="仿宋" w:hAnsi="仿宋" w:eastAsia="仿宋"/>
                <w:b/>
                <w:color w:val="C00000"/>
                <w:sz w:val="22"/>
                <w:szCs w:val="21"/>
                <w:lang w:val="en-US" w:eastAsia="zh-CN"/>
              </w:rPr>
              <w:t>4</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229"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rPr>
              <w:t>格式见附件</w:t>
            </w:r>
            <w:r>
              <w:rPr>
                <w:rFonts w:hint="eastAsia" w:ascii="仿宋" w:hAnsi="仿宋" w:eastAsia="仿宋"/>
                <w:b/>
                <w:color w:val="C00000"/>
                <w:sz w:val="22"/>
                <w:szCs w:val="21"/>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229"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eastAsia="zh-CN"/>
              </w:rPr>
              <w:t>、专业资质文件、人员资质文件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销售业绩及客户清单</w:t>
            </w:r>
          </w:p>
        </w:tc>
        <w:tc>
          <w:tcPr>
            <w:tcW w:w="5229"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维保方案</w:t>
            </w:r>
          </w:p>
        </w:tc>
        <w:tc>
          <w:tcPr>
            <w:tcW w:w="5229"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包含具体维修保养次数、维保内容等方面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229" w:type="dxa"/>
            <w:tcBorders>
              <w:top w:val="single" w:color="auto" w:sz="4" w:space="0"/>
              <w:bottom w:val="single" w:color="auto" w:sz="4" w:space="0"/>
            </w:tcBorders>
            <w:vAlign w:val="center"/>
          </w:tcPr>
          <w:p>
            <w:pPr>
              <w:jc w:val="cente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包含响应速度、免费配件清单、驻场人员及其他优惠条件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229"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229"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2" w:name="_Toc261708863"/>
      <w:bookmarkStart w:id="3" w:name="_Toc258354146"/>
      <w:bookmarkStart w:id="4" w:name="_Toc304219257"/>
      <w:bookmarkStart w:id="5" w:name="_Toc320878640"/>
      <w:bookmarkStart w:id="6" w:name="_Toc15313"/>
      <w:bookmarkStart w:id="7" w:name="_Toc337554724"/>
      <w:bookmarkStart w:id="8" w:name="_Toc17030"/>
      <w:bookmarkStart w:id="9" w:name="_Toc248896063"/>
      <w:bookmarkStart w:id="10" w:name="_Toc258333636"/>
      <w:bookmarkStart w:id="11" w:name="_Toc258360158"/>
      <w:bookmarkStart w:id="12" w:name="_Toc258360269"/>
      <w:bookmarkStart w:id="13" w:name="_Toc10762"/>
      <w:bookmarkStart w:id="14" w:name="_Toc337475854"/>
      <w:bookmarkStart w:id="15" w:name="_Toc9548"/>
      <w:bookmarkStart w:id="16" w:name="_Toc21962674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pStyle w:val="2"/>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pPr>
        <w:pStyle w:val="2"/>
        <w:rPr>
          <w:rFonts w:ascii="方正小标宋简体" w:eastAsia="方正小标宋简体"/>
          <w:color w:val="000000"/>
          <w:sz w:val="44"/>
          <w:szCs w:val="44"/>
        </w:rPr>
      </w:pPr>
    </w:p>
    <w:p>
      <w:pPr>
        <w:pStyle w:val="2"/>
        <w:rPr>
          <w:rFonts w:hint="eastAsia" w:ascii="方正小标宋简体" w:eastAsia="黑体"/>
          <w:color w:val="000000"/>
          <w:sz w:val="44"/>
          <w:szCs w:val="44"/>
          <w:lang w:eastAsia="zh-CN"/>
        </w:rPr>
      </w:pPr>
      <w:r>
        <w:rPr>
          <w:rFonts w:hint="eastAsia" w:ascii="黑体" w:eastAsia="黑体"/>
          <w:color w:val="000000"/>
          <w:sz w:val="32"/>
          <w:szCs w:val="32"/>
        </w:rPr>
        <w:t>附件</w:t>
      </w:r>
      <w:r>
        <w:rPr>
          <w:rFonts w:hint="eastAsia" w:ascii="黑体" w:eastAsia="黑体"/>
          <w:color w:val="000000"/>
          <w:sz w:val="32"/>
          <w:szCs w:val="32"/>
          <w:lang w:val="en-US" w:eastAsia="zh-CN"/>
        </w:rPr>
        <w:t>2</w:t>
      </w:r>
    </w:p>
    <w:p>
      <w:pPr>
        <w:pStyle w:val="2"/>
        <w:rPr>
          <w:rFonts w:ascii="黑体" w:eastAsia="黑体"/>
          <w:color w:val="000000"/>
          <w:sz w:val="32"/>
          <w:szCs w:val="32"/>
        </w:rPr>
      </w:pPr>
    </w:p>
    <w:p>
      <w:pPr>
        <w:pStyle w:val="2"/>
        <w:rPr>
          <w:rFonts w:ascii="黑体" w:eastAsia="黑体"/>
          <w:color w:val="000000"/>
          <w:sz w:val="32"/>
          <w:szCs w:val="32"/>
        </w:rPr>
      </w:pPr>
    </w:p>
    <w:p>
      <w:pPr>
        <w:pStyle w:val="2"/>
        <w:jc w:val="center"/>
        <w:rPr>
          <w:rFonts w:hint="eastAsia" w:ascii="黑体" w:eastAsia="黑体"/>
          <w:color w:val="000000"/>
          <w:sz w:val="32"/>
          <w:szCs w:val="32"/>
          <w:lang w:eastAsia="zh-CN"/>
        </w:rPr>
        <w:sectPr>
          <w:pgSz w:w="11906" w:h="16838"/>
          <w:pgMar w:top="1440" w:right="1800" w:bottom="1440" w:left="1800" w:header="851" w:footer="992" w:gutter="0"/>
          <w:pgNumType w:fmt="decimal"/>
          <w:cols w:space="425" w:num="1"/>
          <w:docGrid w:type="lines" w:linePitch="312" w:charSpace="0"/>
        </w:sectPr>
      </w:pPr>
      <w:r>
        <w:rPr>
          <w:rFonts w:hint="eastAsia" w:ascii="黑体" w:eastAsia="黑体"/>
          <w:color w:val="000000"/>
          <w:sz w:val="32"/>
          <w:szCs w:val="32"/>
          <w:lang w:eastAsia="zh-CN"/>
        </w:rPr>
        <w:t>格式自拟</w:t>
      </w:r>
    </w:p>
    <w:p>
      <w:pPr>
        <w:pStyle w:val="2"/>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3</w:t>
      </w:r>
      <w:r>
        <w:rPr>
          <w:rFonts w:hint="eastAsia" w:ascii="黑体" w:eastAsia="黑体"/>
          <w:color w:val="000000"/>
          <w:sz w:val="32"/>
          <w:szCs w:val="32"/>
        </w:rPr>
        <w:t xml:space="preserve">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附件</w:t>
      </w:r>
      <w:r>
        <w:rPr>
          <w:rFonts w:hint="eastAsia" w:ascii="黑体" w:eastAsia="黑体"/>
          <w:color w:val="000000"/>
          <w:sz w:val="32"/>
          <w:szCs w:val="32"/>
          <w:lang w:val="en-US" w:eastAsia="zh-CN"/>
        </w:rPr>
        <w:t>4</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60288"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60288;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owmMDYAAAACgEAAA8AAAAAAAAAAQAgAAAAIgAAAGRycy9k&#10;b3ducmV2LnhtbFBLAQIUABQAAAAIAIdO4kB9f5w+AgIAACoEAAAOAAAAAAAAAAEAIAAAACcBAABk&#10;cnMvZTJvRG9jLnhtbFBLBQYAAAAABgAGAFkBAACb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9264;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YY8jZAAAACgEAAA8AAAAAAAAAAQAgAAAAIgAAAGRy&#10;cy9kb3ducmV2LnhtbFBLAQIUABQAAAAIAIdO4kBARl9sBAIAACoEAAAOAAAAAAAAAAEAIAAAACgB&#10;AABkcnMvZTJvRG9jLnhtbFBLBQYAAAAABgAGAFkBAACe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3360"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3360;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yrDvdkAAAAKAQAADwAAAAAAAAABACAAAAAiAAAAZHJz&#10;L2Rvd25yZXYueG1sUEsBAhQAFAAAAAgAh07iQCy2yeADAgAAKgQAAA4AAAAAAAAAAQAgAAAAKAEA&#10;AGRycy9lMm9Eb2MueG1sUEsFBgAAAAAGAAYAWQEAAJ0FA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2336;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wn97XAAAACAEAAA8AAAAAAAAAAQAgAAAAIgAAAGRycy9k&#10;b3ducmV2LnhtbFBLAQIUABQAAAAIAIdO4kAVSMgbAwIAACoEAAAOAAAAAAAAAAEAIAAAACYBAABk&#10;cnMvZTJvRG9jLnhtbFBLBQYAAAAABgAGAFkBAACb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附件</w:t>
      </w:r>
      <w:r>
        <w:rPr>
          <w:rFonts w:hint="eastAsia" w:ascii="黑体" w:eastAsia="黑体"/>
          <w:color w:val="000000"/>
          <w:sz w:val="32"/>
          <w:szCs w:val="32"/>
          <w:lang w:val="en-US" w:eastAsia="zh-CN"/>
        </w:rPr>
        <w:t>5</w:t>
      </w:r>
      <w:r>
        <w:rPr>
          <w:rFonts w:hint="eastAsia" w:ascii="黑体" w:eastAsia="黑体"/>
          <w:color w:val="000000"/>
          <w:sz w:val="32"/>
          <w:szCs w:val="32"/>
        </w:rPr>
        <w:t xml:space="preserve">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p>
      <w:pPr>
        <w:jc w:val="both"/>
        <w:rPr>
          <w:rFonts w:hint="eastAsia" w:ascii="黑体" w:eastAsia="黑体"/>
          <w:color w:val="000000"/>
          <w:sz w:val="32"/>
          <w:szCs w:val="32"/>
          <w:lang w:val="en-US" w:eastAsia="zh-CN"/>
        </w:rPr>
      </w:pPr>
      <w:r>
        <w:rPr>
          <w:rFonts w:hint="eastAsia" w:ascii="黑体" w:eastAsia="黑体"/>
          <w:color w:val="000000"/>
          <w:sz w:val="32"/>
          <w:szCs w:val="32"/>
          <w:lang w:val="en-US" w:eastAsia="zh-CN"/>
        </w:rPr>
        <w:t xml:space="preserve"> 附件6  </w:t>
      </w:r>
    </w:p>
    <w:p>
      <w:pPr>
        <w:jc w:val="center"/>
        <w:rPr>
          <w:rFonts w:ascii="仿宋_GB2312" w:hAnsi="宋体" w:eastAsia="仿宋_GB2312"/>
          <w:color w:val="000000"/>
          <w:sz w:val="32"/>
          <w:szCs w:val="32"/>
        </w:rPr>
      </w:pPr>
      <w:r>
        <w:rPr>
          <w:rFonts w:hint="eastAsia" w:ascii="方正小标宋简体" w:hAnsi="宋体" w:eastAsia="方正小标宋简体"/>
          <w:color w:val="000000"/>
          <w:sz w:val="44"/>
          <w:szCs w:val="44"/>
        </w:rPr>
        <w:t>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（项目名称）竞争性磋商活动中，我公司</w:t>
      </w:r>
      <w:r>
        <w:rPr>
          <w:rFonts w:hint="eastAsia" w:ascii="仿宋_GB2312" w:hAnsi="宋体" w:eastAsia="仿宋_GB2312"/>
          <w:color w:val="000000"/>
          <w:sz w:val="32"/>
          <w:szCs w:val="32"/>
          <w:lang w:eastAsia="zh-CN"/>
        </w:rPr>
        <w:t>承诺</w:t>
      </w:r>
      <w:r>
        <w:rPr>
          <w:rFonts w:hint="eastAsia" w:ascii="仿宋_GB2312" w:hAnsi="宋体" w:eastAsia="仿宋_GB2312"/>
          <w:color w:val="000000"/>
          <w:sz w:val="32"/>
          <w:szCs w:val="32"/>
        </w:rPr>
        <w:t>：</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w:t>
      </w:r>
      <w:r>
        <w:rPr>
          <w:rFonts w:hint="eastAsia" w:ascii="仿宋_GB2312" w:hAnsi="宋体" w:eastAsia="仿宋_GB2312"/>
          <w:color w:val="000000"/>
          <w:sz w:val="32"/>
          <w:szCs w:val="32"/>
          <w:lang w:eastAsia="zh-CN"/>
        </w:rPr>
        <w:t>我方不存在单位负责人为同一人，不存在直接控股、管理关系的不同供应商，同时参加同一标段的采购活动的情况</w:t>
      </w:r>
      <w:r>
        <w:rPr>
          <w:rFonts w:hint="eastAsia" w:ascii="仿宋_GB2312" w:hAnsi="宋体" w:eastAsia="仿宋_GB2312"/>
          <w:color w:val="000000"/>
          <w:sz w:val="32"/>
          <w:szCs w:val="32"/>
        </w:rPr>
        <w:t>；</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2、</w:t>
      </w:r>
      <w:r>
        <w:rPr>
          <w:rFonts w:hint="eastAsia" w:ascii="仿宋_GB2312" w:hAnsi="宋体" w:eastAsia="仿宋_GB2312"/>
          <w:color w:val="000000"/>
          <w:sz w:val="32"/>
          <w:szCs w:val="32"/>
          <w:lang w:eastAsia="zh-CN"/>
        </w:rPr>
        <w:t>不存在经营地址或者注册登记地址为同一地址、股东和管理人员（法定代表人、董事、监事）之间不存在近亲属、亲属、相互占股等关联（近亲属指夫妻、直系血亲、三代以内旁系血亲或近姻亲关系）</w:t>
      </w:r>
      <w:r>
        <w:rPr>
          <w:rFonts w:hint="eastAsia" w:ascii="仿宋_GB2312" w:hAnsi="宋体" w:eastAsia="仿宋_GB2312"/>
          <w:color w:val="000000"/>
          <w:sz w:val="32"/>
          <w:szCs w:val="32"/>
        </w:rPr>
        <w:t>；</w:t>
      </w:r>
    </w:p>
    <w:p>
      <w:pPr>
        <w:pStyle w:val="22"/>
        <w:ind w:firstLine="68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lang w:val="en-US" w:eastAsia="zh-CN"/>
        </w:rPr>
        <w:t>3、我方与你单位不存在控股、管理关系等利害关系</w:t>
      </w:r>
      <w:r>
        <w:rPr>
          <w:rFonts w:hint="eastAsia" w:ascii="仿宋_GB2312" w:hAnsi="宋体" w:eastAsia="仿宋_GB2312"/>
          <w:color w:val="000000"/>
          <w:sz w:val="32"/>
          <w:szCs w:val="32"/>
        </w:rPr>
        <w:t>；</w:t>
      </w:r>
    </w:p>
    <w:p>
      <w:pPr>
        <w:pStyle w:val="22"/>
        <w:ind w:firstLine="680" w:firstLineChars="200"/>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4、我方所有报价均不高于市场价；</w:t>
      </w:r>
    </w:p>
    <w:p>
      <w:pPr>
        <w:spacing w:line="580" w:lineRule="exact"/>
        <w:ind w:firstLine="640" w:firstLineChars="200"/>
        <w:jc w:val="left"/>
        <w:rPr>
          <w:rFonts w:hint="eastAsia" w:ascii="仿宋_GB2312" w:hAnsi="宋体" w:eastAsia="仿宋_GB2312"/>
          <w:color w:val="000000"/>
          <w:sz w:val="32"/>
          <w:szCs w:val="32"/>
        </w:rPr>
      </w:pPr>
      <w:r>
        <w:rPr>
          <w:rFonts w:hint="eastAsia" w:ascii="仿宋_GB2312" w:hAnsi="宋体" w:eastAsia="仿宋_GB2312"/>
          <w:color w:val="000000"/>
          <w:sz w:val="32"/>
          <w:szCs w:val="32"/>
        </w:rPr>
        <w:t>如出现以</w:t>
      </w:r>
      <w:r>
        <w:rPr>
          <w:rFonts w:hint="eastAsia" w:ascii="仿宋_GB2312" w:hAnsi="宋体" w:eastAsia="仿宋_GB2312"/>
          <w:color w:val="000000"/>
          <w:sz w:val="32"/>
          <w:szCs w:val="32"/>
          <w:lang w:eastAsia="zh-CN"/>
        </w:rPr>
        <w:t>上</w:t>
      </w:r>
      <w:r>
        <w:rPr>
          <w:rFonts w:hint="eastAsia" w:ascii="仿宋_GB2312" w:hAnsi="宋体" w:eastAsia="仿宋_GB2312"/>
          <w:color w:val="000000"/>
          <w:sz w:val="32"/>
          <w:szCs w:val="32"/>
        </w:rPr>
        <w:t>行为，我公司及参与磋商响应的工作人员</w:t>
      </w:r>
      <w:r>
        <w:rPr>
          <w:rFonts w:hint="eastAsia" w:ascii="仿宋_GB2312" w:hAnsi="宋体" w:eastAsia="仿宋_GB2312"/>
          <w:color w:val="000000"/>
          <w:sz w:val="32"/>
          <w:szCs w:val="32"/>
          <w:lang w:eastAsia="zh-CN"/>
        </w:rPr>
        <w:t>将依法承担</w:t>
      </w:r>
      <w:r>
        <w:rPr>
          <w:rFonts w:hint="eastAsia" w:ascii="仿宋_GB2312" w:hAnsi="宋体" w:eastAsia="仿宋_GB2312"/>
          <w:color w:val="000000"/>
          <w:sz w:val="32"/>
          <w:szCs w:val="32"/>
        </w:rPr>
        <w:t>法律</w:t>
      </w:r>
      <w:r>
        <w:rPr>
          <w:rFonts w:hint="eastAsia" w:ascii="仿宋_GB2312" w:hAnsi="宋体" w:eastAsia="仿宋_GB2312"/>
          <w:color w:val="000000"/>
          <w:sz w:val="32"/>
          <w:szCs w:val="32"/>
          <w:lang w:eastAsia="zh-CN"/>
        </w:rPr>
        <w:t>责任及接受被院方拉入黑名单，禁止参加院方的一切采购活动</w:t>
      </w:r>
      <w:r>
        <w:rPr>
          <w:rFonts w:hint="eastAsia" w:ascii="仿宋_GB2312" w:hAnsi="宋体" w:eastAsia="仿宋_GB2312"/>
          <w:color w:val="000000"/>
          <w:sz w:val="32"/>
          <w:szCs w:val="32"/>
        </w:rPr>
        <w:t>的处置：</w:t>
      </w:r>
    </w:p>
    <w:p>
      <w:pPr>
        <w:pStyle w:val="22"/>
      </w:pPr>
    </w:p>
    <w:p>
      <w:pPr>
        <w:jc w:val="left"/>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 xml:space="preserve">              公司名称：</w:t>
      </w:r>
    </w:p>
    <w:p>
      <w:pPr>
        <w:ind w:firstLine="2240" w:firstLineChars="70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5760" w:firstLineChars="1800"/>
        <w:jc w:val="left"/>
        <w:rPr>
          <w:rFonts w:ascii="黑体" w:hAnsi="黑体" w:eastAsia="黑体" w:cs="黑体"/>
          <w:sz w:val="32"/>
          <w:szCs w:val="32"/>
        </w:rPr>
      </w:pPr>
      <w:r>
        <w:rPr>
          <w:rFonts w:hint="eastAsia" w:ascii="仿宋_GB2312" w:hAnsi="宋体" w:eastAsia="仿宋_GB2312"/>
          <w:color w:val="000000"/>
          <w:sz w:val="32"/>
          <w:szCs w:val="32"/>
        </w:rPr>
        <w:t>年  月  日</w:t>
      </w:r>
    </w:p>
    <w:p>
      <w:pPr>
        <w:pStyle w:val="2"/>
        <w:rPr>
          <w:rFonts w:hint="eastAsia" w:ascii="仿宋_GB2312" w:hAnsi="宋体" w:eastAsia="仿宋_GB2312"/>
          <w:color w:val="000000"/>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910"/>
        <w:tab w:val="clear" w:pos="8306"/>
      </w:tabs>
      <w:rPr>
        <w:rFonts w:hint="eastAsia"/>
        <w:lang w:eastAsia="zh-CN"/>
      </w:rPr>
    </w:pPr>
    <w:r>
      <w:rPr>
        <w:rFonts w:hint="eastAsia"/>
        <w:snapToGrid w:val="0"/>
      </w:rPr>
      <w:t>第</w:t>
    </w:r>
    <w:r>
      <w:rPr>
        <w:snapToGrid w:val="0"/>
      </w:rPr>
      <w:t xml:space="preserve"> </w:t>
    </w:r>
    <w:r>
      <w:rPr>
        <w:snapToGrid w:val="0"/>
      </w:rPr>
      <w:fldChar w:fldCharType="begin"/>
    </w:r>
    <w:r>
      <w:rPr>
        <w:snapToGrid w:val="0"/>
      </w:rPr>
      <w:instrText xml:space="preserve"> PAGE </w:instrText>
    </w:r>
    <w:r>
      <w:rPr>
        <w:snapToGrid w:val="0"/>
      </w:rPr>
      <w:fldChar w:fldCharType="separate"/>
    </w:r>
    <w:r>
      <w:rPr>
        <w:snapToGrid w:val="0"/>
      </w:rPr>
      <w:t>1</w:t>
    </w:r>
    <w:r>
      <w:rPr>
        <w:snapToGrid w:val="0"/>
      </w:rPr>
      <w:fldChar w:fldCharType="end"/>
    </w:r>
    <w:r>
      <w:rPr>
        <w:snapToGrid w:val="0"/>
      </w:rPr>
      <w:t xml:space="preserve"> </w:t>
    </w:r>
    <w:r>
      <w:rPr>
        <w:rFonts w:hint="eastAsia"/>
        <w:snapToGrid w:val="0"/>
      </w:rPr>
      <w:t>页</w:t>
    </w:r>
    <w:r>
      <w:rPr>
        <w:snapToGrid w:val="0"/>
      </w:rPr>
      <w:t xml:space="preserve"> </w:t>
    </w:r>
    <w:r>
      <w:rPr>
        <w:rFonts w:hint="eastAsia"/>
        <w:snapToGrid w:val="0"/>
      </w:rPr>
      <w:t>共</w:t>
    </w:r>
    <w:r>
      <w:rPr>
        <w:snapToGrid w:val="0"/>
      </w:rPr>
      <w:fldChar w:fldCharType="begin"/>
    </w:r>
    <w:r>
      <w:rPr>
        <w:snapToGrid w:val="0"/>
      </w:rPr>
      <w:instrText xml:space="preserve"> NUMPAGES </w:instrText>
    </w:r>
    <w:r>
      <w:rPr>
        <w:snapToGrid w:val="0"/>
      </w:rPr>
      <w:fldChar w:fldCharType="separate"/>
    </w:r>
    <w:r>
      <w:rPr>
        <w:snapToGrid w:val="0"/>
      </w:rPr>
      <w:t>7</w:t>
    </w:r>
    <w:r>
      <w:rPr>
        <w:snapToGrid w:val="0"/>
      </w:rPr>
      <w:fldChar w:fldCharType="end"/>
    </w:r>
    <w:r>
      <w:rPr>
        <w:rFonts w:hint="eastAsia"/>
        <w:snapToGrid w:val="0"/>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rFonts w:hint="eastAsia"/>
        <w:lang w:eastAsia="zh-CN"/>
      </w:rPr>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087474"/>
    <w:multiLevelType w:val="singleLevel"/>
    <w:tmpl w:val="94087474"/>
    <w:lvl w:ilvl="0" w:tentative="0">
      <w:start w:val="1"/>
      <w:numFmt w:val="decimal"/>
      <w:suff w:val="nothing"/>
      <w:lvlText w:val="%1、"/>
      <w:lvlJc w:val="left"/>
      <w:pPr>
        <w:ind w:left="-10"/>
      </w:pPr>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E398084C"/>
    <w:multiLevelType w:val="singleLevel"/>
    <w:tmpl w:val="E398084C"/>
    <w:lvl w:ilvl="0" w:tentative="0">
      <w:start w:val="2"/>
      <w:numFmt w:val="chineseCounting"/>
      <w:suff w:val="space"/>
      <w:lvlText w:val="第%1条"/>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071609E5"/>
    <w:multiLevelType w:val="multilevel"/>
    <w:tmpl w:val="071609E5"/>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EEA0845"/>
    <w:multiLevelType w:val="multilevel"/>
    <w:tmpl w:val="2EEA0845"/>
    <w:lvl w:ilvl="0" w:tentative="0">
      <w:start w:val="1"/>
      <w:numFmt w:val="decimal"/>
      <w:lvlText w:val="%1．"/>
      <w:lvlJc w:val="left"/>
      <w:pPr>
        <w:tabs>
          <w:tab w:val="left" w:pos="360"/>
        </w:tabs>
        <w:ind w:left="647" w:hanging="227"/>
      </w:pPr>
      <w:rPr>
        <w:rFonts w:hint="default"/>
      </w:rPr>
    </w:lvl>
    <w:lvl w:ilvl="1" w:tentative="0">
      <w:start w:val="2"/>
      <w:numFmt w:val="upperLetter"/>
      <w:lvlText w:val="%2、"/>
      <w:lvlJc w:val="left"/>
      <w:pPr>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3636DBDA"/>
    <w:multiLevelType w:val="singleLevel"/>
    <w:tmpl w:val="3636DBDA"/>
    <w:lvl w:ilvl="0" w:tentative="0">
      <w:start w:val="1"/>
      <w:numFmt w:val="chineseCounting"/>
      <w:suff w:val="space"/>
      <w:lvlText w:val="第%1章"/>
      <w:lvlJc w:val="left"/>
      <w:rPr>
        <w:rFonts w:hint="eastAsia"/>
      </w:rPr>
    </w:lvl>
  </w:abstractNum>
  <w:abstractNum w:abstractNumId="9">
    <w:nsid w:val="55DFCF8B"/>
    <w:multiLevelType w:val="singleLevel"/>
    <w:tmpl w:val="55DFCF8B"/>
    <w:lvl w:ilvl="0" w:tentative="0">
      <w:start w:val="1"/>
      <w:numFmt w:val="decimal"/>
      <w:lvlText w:val="%1."/>
      <w:lvlJc w:val="left"/>
      <w:pPr>
        <w:tabs>
          <w:tab w:val="left" w:pos="312"/>
        </w:tabs>
      </w:pPr>
    </w:lvl>
  </w:abstractNum>
  <w:abstractNum w:abstractNumId="10">
    <w:nsid w:val="65203ED3"/>
    <w:multiLevelType w:val="multilevel"/>
    <w:tmpl w:val="65203ED3"/>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6B3A6AF7"/>
    <w:multiLevelType w:val="multilevel"/>
    <w:tmpl w:val="6B3A6AF7"/>
    <w:lvl w:ilvl="0" w:tentative="0">
      <w:start w:val="1"/>
      <w:numFmt w:val="upperLetter"/>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D34B76A"/>
    <w:multiLevelType w:val="singleLevel"/>
    <w:tmpl w:val="6D34B76A"/>
    <w:lvl w:ilvl="0" w:tentative="0">
      <w:start w:val="1"/>
      <w:numFmt w:val="chineseCounting"/>
      <w:suff w:val="nothing"/>
      <w:lvlText w:val="（%1）"/>
      <w:lvlJc w:val="left"/>
      <w:pPr>
        <w:ind w:left="1760" w:firstLine="0"/>
      </w:pPr>
      <w:rPr>
        <w:rFonts w:hint="eastAsia"/>
      </w:rPr>
    </w:lvl>
  </w:abstractNum>
  <w:abstractNum w:abstractNumId="13">
    <w:nsid w:val="6D786D30"/>
    <w:multiLevelType w:val="singleLevel"/>
    <w:tmpl w:val="6D786D30"/>
    <w:lvl w:ilvl="0" w:tentative="0">
      <w:start w:val="1"/>
      <w:numFmt w:val="bullet"/>
      <w:lvlText w:val=""/>
      <w:lvlJc w:val="left"/>
      <w:pPr>
        <w:tabs>
          <w:tab w:val="left" w:pos="360"/>
        </w:tabs>
        <w:ind w:left="360" w:hanging="360"/>
      </w:pPr>
      <w:rPr>
        <w:rFonts w:hint="default" w:ascii="Symbol" w:hAnsi="Symbol" w:cs="Times New Roman"/>
      </w:rPr>
    </w:lvl>
  </w:abstractNum>
  <w:num w:numId="1">
    <w:abstractNumId w:val="8"/>
  </w:num>
  <w:num w:numId="2">
    <w:abstractNumId w:val="12"/>
  </w:num>
  <w:num w:numId="3">
    <w:abstractNumId w:val="3"/>
  </w:num>
  <w:num w:numId="4">
    <w:abstractNumId w:val="2"/>
  </w:num>
  <w:num w:numId="5">
    <w:abstractNumId w:val="0"/>
  </w:num>
  <w:num w:numId="6">
    <w:abstractNumId w:val="1"/>
  </w:num>
  <w:num w:numId="7">
    <w:abstractNumId w:val="5"/>
  </w:num>
  <w:num w:numId="8">
    <w:abstractNumId w:val="9"/>
  </w:num>
  <w:num w:numId="9">
    <w:abstractNumId w:val="4"/>
  </w:num>
  <w:num w:numId="10">
    <w:abstractNumId w:val="13"/>
  </w:num>
  <w:num w:numId="11">
    <w:abstractNumId w:val="7"/>
  </w:num>
  <w:num w:numId="12">
    <w:abstractNumId w:val="1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NmY2IxYmMyMzRjZjA2YTM3NGEzN2VhMTM1N2YifQ=="/>
  </w:docVars>
  <w:rsids>
    <w:rsidRoot w:val="17D81E85"/>
    <w:rsid w:val="005A3F93"/>
    <w:rsid w:val="00713407"/>
    <w:rsid w:val="00AB4A84"/>
    <w:rsid w:val="00AF7E12"/>
    <w:rsid w:val="00C45330"/>
    <w:rsid w:val="00CE1A27"/>
    <w:rsid w:val="00D47DAF"/>
    <w:rsid w:val="015524FB"/>
    <w:rsid w:val="03C05FE9"/>
    <w:rsid w:val="041C0681"/>
    <w:rsid w:val="045C4934"/>
    <w:rsid w:val="06691F53"/>
    <w:rsid w:val="06AB0CBE"/>
    <w:rsid w:val="07115D57"/>
    <w:rsid w:val="07480850"/>
    <w:rsid w:val="07A779E9"/>
    <w:rsid w:val="0831446C"/>
    <w:rsid w:val="08492771"/>
    <w:rsid w:val="08B25A56"/>
    <w:rsid w:val="091E4C98"/>
    <w:rsid w:val="09891DDE"/>
    <w:rsid w:val="09984B6B"/>
    <w:rsid w:val="09E9128C"/>
    <w:rsid w:val="0A1C52E7"/>
    <w:rsid w:val="0A321C94"/>
    <w:rsid w:val="0B9D1095"/>
    <w:rsid w:val="0BD8254C"/>
    <w:rsid w:val="0CE95F36"/>
    <w:rsid w:val="0CFB4C25"/>
    <w:rsid w:val="0D456FB4"/>
    <w:rsid w:val="0D9E4273"/>
    <w:rsid w:val="0DF70796"/>
    <w:rsid w:val="0E5B26BC"/>
    <w:rsid w:val="0E9016D0"/>
    <w:rsid w:val="0E93621F"/>
    <w:rsid w:val="0F317386"/>
    <w:rsid w:val="0F54445A"/>
    <w:rsid w:val="111B0067"/>
    <w:rsid w:val="114C35D9"/>
    <w:rsid w:val="11953DFF"/>
    <w:rsid w:val="11C31BE9"/>
    <w:rsid w:val="12A11F66"/>
    <w:rsid w:val="13C5199E"/>
    <w:rsid w:val="1440292F"/>
    <w:rsid w:val="14682D8B"/>
    <w:rsid w:val="15637069"/>
    <w:rsid w:val="16A35C46"/>
    <w:rsid w:val="170D04F7"/>
    <w:rsid w:val="17D81E85"/>
    <w:rsid w:val="18501ED4"/>
    <w:rsid w:val="186D0D29"/>
    <w:rsid w:val="188744A6"/>
    <w:rsid w:val="1965314B"/>
    <w:rsid w:val="1A0C71E7"/>
    <w:rsid w:val="1A257B62"/>
    <w:rsid w:val="1B304823"/>
    <w:rsid w:val="1BCA7DF5"/>
    <w:rsid w:val="1C900C49"/>
    <w:rsid w:val="1D5D013B"/>
    <w:rsid w:val="1D995826"/>
    <w:rsid w:val="1E4C6245"/>
    <w:rsid w:val="1F1D4095"/>
    <w:rsid w:val="1FAD5926"/>
    <w:rsid w:val="22023BDE"/>
    <w:rsid w:val="22401398"/>
    <w:rsid w:val="22C571AC"/>
    <w:rsid w:val="245F44FD"/>
    <w:rsid w:val="246624B2"/>
    <w:rsid w:val="24DF7354"/>
    <w:rsid w:val="24FE3AD7"/>
    <w:rsid w:val="25E13CF1"/>
    <w:rsid w:val="2643733F"/>
    <w:rsid w:val="264A511E"/>
    <w:rsid w:val="278100C0"/>
    <w:rsid w:val="27AF30E6"/>
    <w:rsid w:val="281A4847"/>
    <w:rsid w:val="288B4898"/>
    <w:rsid w:val="28AE7436"/>
    <w:rsid w:val="2A7E0BB7"/>
    <w:rsid w:val="2A826BC7"/>
    <w:rsid w:val="2B0A7B44"/>
    <w:rsid w:val="2CC10CAE"/>
    <w:rsid w:val="2ED21247"/>
    <w:rsid w:val="2F597222"/>
    <w:rsid w:val="2F632DBF"/>
    <w:rsid w:val="30217C48"/>
    <w:rsid w:val="311B0235"/>
    <w:rsid w:val="31384F13"/>
    <w:rsid w:val="31827FC3"/>
    <w:rsid w:val="32367AE2"/>
    <w:rsid w:val="33F956F6"/>
    <w:rsid w:val="35235DD9"/>
    <w:rsid w:val="355D343E"/>
    <w:rsid w:val="35803DCD"/>
    <w:rsid w:val="358D0D69"/>
    <w:rsid w:val="359022EB"/>
    <w:rsid w:val="36964403"/>
    <w:rsid w:val="384A7AD5"/>
    <w:rsid w:val="3A3A4AA9"/>
    <w:rsid w:val="3AD243FA"/>
    <w:rsid w:val="3B1111E4"/>
    <w:rsid w:val="3B2A4846"/>
    <w:rsid w:val="3B5373B6"/>
    <w:rsid w:val="3B677688"/>
    <w:rsid w:val="3C8F1C55"/>
    <w:rsid w:val="3CCF593D"/>
    <w:rsid w:val="3DA0606C"/>
    <w:rsid w:val="3DEC493C"/>
    <w:rsid w:val="3EC01209"/>
    <w:rsid w:val="3EC24AA3"/>
    <w:rsid w:val="3EDC78BB"/>
    <w:rsid w:val="3EEB7664"/>
    <w:rsid w:val="435D287E"/>
    <w:rsid w:val="44041E7E"/>
    <w:rsid w:val="44504B88"/>
    <w:rsid w:val="44B67130"/>
    <w:rsid w:val="456841B6"/>
    <w:rsid w:val="457B6881"/>
    <w:rsid w:val="4656733B"/>
    <w:rsid w:val="46710830"/>
    <w:rsid w:val="46BB2C0A"/>
    <w:rsid w:val="47552A75"/>
    <w:rsid w:val="486D7AF7"/>
    <w:rsid w:val="493C56B1"/>
    <w:rsid w:val="494804BB"/>
    <w:rsid w:val="495A2A50"/>
    <w:rsid w:val="49664CB2"/>
    <w:rsid w:val="4A2A20B9"/>
    <w:rsid w:val="4AD52CE0"/>
    <w:rsid w:val="4B4638AD"/>
    <w:rsid w:val="4B70660F"/>
    <w:rsid w:val="4B7C13C2"/>
    <w:rsid w:val="4B9C1C97"/>
    <w:rsid w:val="4BC500AA"/>
    <w:rsid w:val="4C1C5AD5"/>
    <w:rsid w:val="4C916676"/>
    <w:rsid w:val="4D242965"/>
    <w:rsid w:val="4DA60964"/>
    <w:rsid w:val="4FCE5CD6"/>
    <w:rsid w:val="503F3FE4"/>
    <w:rsid w:val="50644509"/>
    <w:rsid w:val="51412A8B"/>
    <w:rsid w:val="514F77D3"/>
    <w:rsid w:val="515509C9"/>
    <w:rsid w:val="52A31D63"/>
    <w:rsid w:val="533D08A8"/>
    <w:rsid w:val="53501B3C"/>
    <w:rsid w:val="535B3F9E"/>
    <w:rsid w:val="53EC32EF"/>
    <w:rsid w:val="54370568"/>
    <w:rsid w:val="544132AF"/>
    <w:rsid w:val="550B217C"/>
    <w:rsid w:val="55803735"/>
    <w:rsid w:val="563E288F"/>
    <w:rsid w:val="57162389"/>
    <w:rsid w:val="57575861"/>
    <w:rsid w:val="5AD50E25"/>
    <w:rsid w:val="5B736C6D"/>
    <w:rsid w:val="5C0B1608"/>
    <w:rsid w:val="5CEA2A63"/>
    <w:rsid w:val="5D327E39"/>
    <w:rsid w:val="5D4D3632"/>
    <w:rsid w:val="5E89646C"/>
    <w:rsid w:val="5ED90E8F"/>
    <w:rsid w:val="60247155"/>
    <w:rsid w:val="603040BB"/>
    <w:rsid w:val="615523A0"/>
    <w:rsid w:val="61A05A1B"/>
    <w:rsid w:val="6257686C"/>
    <w:rsid w:val="649D2897"/>
    <w:rsid w:val="64BF3E0B"/>
    <w:rsid w:val="64E26821"/>
    <w:rsid w:val="650A5D90"/>
    <w:rsid w:val="65207F71"/>
    <w:rsid w:val="653122C2"/>
    <w:rsid w:val="66016CC0"/>
    <w:rsid w:val="67C71CC5"/>
    <w:rsid w:val="695C7637"/>
    <w:rsid w:val="6A3805EE"/>
    <w:rsid w:val="6A67750E"/>
    <w:rsid w:val="6BDA23AB"/>
    <w:rsid w:val="6CD8518D"/>
    <w:rsid w:val="6ECA7999"/>
    <w:rsid w:val="6F7B0CA4"/>
    <w:rsid w:val="6F8E4227"/>
    <w:rsid w:val="6FEC0000"/>
    <w:rsid w:val="70027824"/>
    <w:rsid w:val="70201765"/>
    <w:rsid w:val="70E04A7D"/>
    <w:rsid w:val="70F03E6A"/>
    <w:rsid w:val="71B367CA"/>
    <w:rsid w:val="72AF20B0"/>
    <w:rsid w:val="73B95B82"/>
    <w:rsid w:val="73BA7E96"/>
    <w:rsid w:val="745F5922"/>
    <w:rsid w:val="75441CAA"/>
    <w:rsid w:val="77F35741"/>
    <w:rsid w:val="78481C82"/>
    <w:rsid w:val="78BC0632"/>
    <w:rsid w:val="78BE0AF1"/>
    <w:rsid w:val="792701E6"/>
    <w:rsid w:val="798E357B"/>
    <w:rsid w:val="79D27142"/>
    <w:rsid w:val="7A8647EE"/>
    <w:rsid w:val="7AFC68A2"/>
    <w:rsid w:val="7B655EDF"/>
    <w:rsid w:val="7B8A691F"/>
    <w:rsid w:val="7BC97F92"/>
    <w:rsid w:val="7CF966CC"/>
    <w:rsid w:val="7D06418C"/>
    <w:rsid w:val="7D0B50F4"/>
    <w:rsid w:val="7ED85B4B"/>
    <w:rsid w:val="7EEA09A6"/>
    <w:rsid w:val="7F1212C8"/>
    <w:rsid w:val="7F3F44FF"/>
    <w:rsid w:val="7F4B688C"/>
    <w:rsid w:val="7FDD5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widowControl/>
      <w:autoSpaceDE w:val="0"/>
      <w:autoSpaceDN w:val="0"/>
      <w:jc w:val="left"/>
      <w:outlineLvl w:val="1"/>
    </w:pPr>
    <w:rPr>
      <w:rFonts w:ascii="宋体" w:hAnsi="Times New Roman"/>
      <w:b/>
      <w:bCs/>
      <w:kern w:val="0"/>
      <w:sz w:val="30"/>
      <w:szCs w:val="30"/>
      <w:lang w:eastAsia="en-US"/>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 Spacing"/>
    <w:basedOn w:val="1"/>
    <w:autoRedefine/>
    <w:qFormat/>
    <w:uiPriority w:val="1"/>
    <w:pPr>
      <w:spacing w:after="0" w:line="400" w:lineRule="exact"/>
    </w:pPr>
    <w:rPr>
      <w:rFonts w:eastAsia="宋体"/>
      <w:sz w:val="24"/>
    </w:rPr>
  </w:style>
  <w:style w:type="paragraph" w:styleId="4">
    <w:name w:val="Normal Indent"/>
    <w:basedOn w:val="1"/>
    <w:autoRedefine/>
    <w:qFormat/>
    <w:uiPriority w:val="0"/>
    <w:pPr>
      <w:widowControl/>
      <w:autoSpaceDE w:val="0"/>
      <w:autoSpaceDN w:val="0"/>
      <w:ind w:firstLine="420" w:firstLineChars="200"/>
      <w:jc w:val="left"/>
    </w:pPr>
    <w:rPr>
      <w:rFonts w:ascii="Times New Roman" w:hAnsi="Times New Roman"/>
      <w:kern w:val="0"/>
      <w:sz w:val="20"/>
      <w:szCs w:val="20"/>
      <w:lang w:eastAsia="en-US"/>
    </w:rPr>
  </w:style>
  <w:style w:type="paragraph" w:styleId="5">
    <w:name w:val="annotation text"/>
    <w:basedOn w:val="1"/>
    <w:autoRedefine/>
    <w:qFormat/>
    <w:uiPriority w:val="0"/>
    <w:pPr>
      <w:jc w:val="left"/>
    </w:pPr>
  </w:style>
  <w:style w:type="paragraph" w:styleId="6">
    <w:name w:val="Body Text"/>
    <w:basedOn w:val="1"/>
    <w:next w:val="1"/>
    <w:autoRedefine/>
    <w:qFormat/>
    <w:uiPriority w:val="1"/>
    <w:pPr>
      <w:widowControl w:val="0"/>
      <w:adjustRightInd/>
      <w:snapToGrid/>
      <w:spacing w:after="0"/>
      <w:ind w:left="137"/>
    </w:pPr>
    <w:rPr>
      <w:rFonts w:ascii="宋体" w:hAnsi="宋体" w:eastAsia="宋体"/>
      <w:sz w:val="24"/>
      <w:szCs w:val="24"/>
      <w:lang w:eastAsia="en-US"/>
    </w:rPr>
  </w:style>
  <w:style w:type="paragraph" w:styleId="7">
    <w:name w:val="footer"/>
    <w:basedOn w:val="1"/>
    <w:link w:val="17"/>
    <w:autoRedefine/>
    <w:qFormat/>
    <w:uiPriority w:val="0"/>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autoRedefine/>
    <w:qFormat/>
    <w:uiPriority w:val="0"/>
    <w:rPr>
      <w:color w:val="444444"/>
      <w:sz w:val="21"/>
      <w:szCs w:val="21"/>
      <w:u w:val="none"/>
    </w:rPr>
  </w:style>
  <w:style w:type="character" w:styleId="14">
    <w:name w:val="Hyperlink"/>
    <w:basedOn w:val="12"/>
    <w:autoRedefine/>
    <w:semiHidden/>
    <w:unhideWhenUsed/>
    <w:qFormat/>
    <w:uiPriority w:val="99"/>
    <w:rPr>
      <w:rFonts w:ascii="微软雅黑" w:hAnsi="微软雅黑" w:eastAsia="微软雅黑" w:cs="微软雅黑"/>
      <w:color w:val="02396F"/>
      <w:u w:val="single"/>
    </w:rPr>
  </w:style>
  <w:style w:type="character" w:styleId="15">
    <w:name w:val="annotation reference"/>
    <w:basedOn w:val="12"/>
    <w:autoRedefine/>
    <w:qFormat/>
    <w:uiPriority w:val="0"/>
    <w:rPr>
      <w:sz w:val="21"/>
      <w:szCs w:val="21"/>
    </w:rPr>
  </w:style>
  <w:style w:type="paragraph" w:customStyle="1" w:styleId="16">
    <w:name w:val="Normal_3"/>
    <w:autoRedefine/>
    <w:qFormat/>
    <w:uiPriority w:val="0"/>
    <w:rPr>
      <w:rFonts w:ascii="Times New Roman" w:hAnsi="Times New Roman" w:eastAsia="Times New Roman" w:cs="Times New Roman"/>
      <w:sz w:val="24"/>
      <w:szCs w:val="24"/>
      <w:lang w:val="en-US" w:eastAsia="zh-CN" w:bidi="ar-SA"/>
    </w:rPr>
  </w:style>
  <w:style w:type="character" w:customStyle="1" w:styleId="17">
    <w:name w:val="页脚 字符"/>
    <w:basedOn w:val="12"/>
    <w:link w:val="7"/>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qFormat/>
    <w:uiPriority w:val="99"/>
    <w:pPr>
      <w:ind w:firstLine="420" w:firstLineChars="200"/>
    </w:pPr>
  </w:style>
  <w:style w:type="character" w:customStyle="1" w:styleId="19">
    <w:name w:val="hover15"/>
    <w:basedOn w:val="12"/>
    <w:autoRedefine/>
    <w:qFormat/>
    <w:uiPriority w:val="0"/>
  </w:style>
  <w:style w:type="paragraph" w:customStyle="1" w:styleId="20">
    <w:name w:val="无间隔1"/>
    <w:basedOn w:val="1"/>
    <w:autoRedefine/>
    <w:qFormat/>
    <w:uiPriority w:val="1"/>
    <w:pPr>
      <w:spacing w:line="400" w:lineRule="exact"/>
    </w:pPr>
    <w:rPr>
      <w:rFonts w:ascii="Calibri" w:hAnsi="Calibri"/>
      <w:sz w:val="24"/>
      <w:szCs w:val="22"/>
    </w:rPr>
  </w:style>
  <w:style w:type="character" w:customStyle="1" w:styleId="21">
    <w:name w:val="font21"/>
    <w:basedOn w:val="12"/>
    <w:autoRedefine/>
    <w:qFormat/>
    <w:uiPriority w:val="0"/>
    <w:rPr>
      <w:rFonts w:hint="eastAsia" w:ascii="宋体" w:hAnsi="宋体" w:eastAsia="宋体" w:cs="宋体"/>
      <w:color w:val="FF0000"/>
      <w:sz w:val="24"/>
      <w:szCs w:val="24"/>
      <w:u w:val="none"/>
    </w:rPr>
  </w:style>
  <w:style w:type="paragraph" w:customStyle="1" w:styleId="22">
    <w:name w:val="表格文字"/>
    <w:basedOn w:val="1"/>
    <w:autoRedefine/>
    <w:qFormat/>
    <w:uiPriority w:val="0"/>
    <w:pPr>
      <w:spacing w:before="25" w:after="25"/>
      <w:jc w:val="left"/>
    </w:pPr>
    <w:rPr>
      <w:rFonts w:ascii="Calibri" w:hAnsi="Calibri" w:cs="Times New Roman"/>
      <w:spacing w:val="10"/>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6175</Words>
  <Characters>6396</Characters>
  <Lines>55</Lines>
  <Paragraphs>15</Paragraphs>
  <TotalTime>15</TotalTime>
  <ScaleCrop>false</ScaleCrop>
  <LinksUpToDate>false</LinksUpToDate>
  <CharactersWithSpaces>7126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2023-04-03T02:35:00Z</cp:lastPrinted>
  <dcterms:modified xsi:type="dcterms:W3CDTF">2024-05-23T00:16:50Z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493DB46D37854FBB97BA6C655364FCA7</vt:lpwstr>
  </property>
</Properties>
</file>