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口腔耗材采购项目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6"/>
        <w:rPr>
          <w:rFonts w:hint="eastAsia"/>
        </w:rPr>
      </w:pPr>
    </w:p>
    <w:p>
      <w:pPr>
        <w:pStyle w:val="16"/>
        <w:rPr>
          <w:rFonts w:hint="eastAsia"/>
        </w:rPr>
      </w:pPr>
    </w:p>
    <w:p>
      <w:pPr>
        <w:pStyle w:val="16"/>
        <w:rPr>
          <w:rFonts w:hint="eastAsia"/>
        </w:rPr>
      </w:pPr>
    </w:p>
    <w:p>
      <w:pPr>
        <w:jc w:val="center"/>
        <w:rPr>
          <w:rFonts w:ascii="黑体" w:hAnsi="黑体" w:eastAsia="黑体" w:cs="黑体"/>
          <w:sz w:val="52"/>
          <w:szCs w:val="52"/>
        </w:rPr>
      </w:pPr>
    </w:p>
    <w:p>
      <w:pPr>
        <w:pStyle w:val="16"/>
        <w:rPr>
          <w:rFonts w:ascii="黑体" w:hAnsi="黑体" w:eastAsia="黑体" w:cs="黑体"/>
          <w:sz w:val="52"/>
          <w:szCs w:val="52"/>
        </w:rPr>
      </w:pPr>
    </w:p>
    <w:p>
      <w:pPr>
        <w:pStyle w:val="16"/>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2023年11月27日</w:t>
      </w:r>
    </w:p>
    <w:p>
      <w:pPr>
        <w:pStyle w:val="16"/>
        <w:rPr>
          <w:rFonts w:hint="eastAsia"/>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口腔耗材采购项目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口腔耗材采购项目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967"/>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序号</w:t>
            </w:r>
          </w:p>
        </w:tc>
        <w:tc>
          <w:tcPr>
            <w:tcW w:w="396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标段划分</w:t>
            </w:r>
          </w:p>
        </w:tc>
        <w:tc>
          <w:tcPr>
            <w:tcW w:w="396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1</w:t>
            </w:r>
          </w:p>
        </w:tc>
        <w:tc>
          <w:tcPr>
            <w:tcW w:w="396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标段一 口腔普耗</w:t>
            </w:r>
          </w:p>
        </w:tc>
        <w:tc>
          <w:tcPr>
            <w:tcW w:w="3967" w:type="dxa"/>
            <w:vMerge w:val="restart"/>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详细清单见附件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2</w:t>
            </w:r>
          </w:p>
        </w:tc>
        <w:tc>
          <w:tcPr>
            <w:tcW w:w="396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标段二 正畸耗材</w:t>
            </w:r>
          </w:p>
        </w:tc>
        <w:tc>
          <w:tcPr>
            <w:tcW w:w="3967" w:type="dxa"/>
            <w:vMerge w:val="continue"/>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3</w:t>
            </w:r>
          </w:p>
        </w:tc>
        <w:tc>
          <w:tcPr>
            <w:tcW w:w="396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标段三 种植耗材</w:t>
            </w:r>
          </w:p>
        </w:tc>
        <w:tc>
          <w:tcPr>
            <w:tcW w:w="3967" w:type="dxa"/>
            <w:vMerge w:val="continue"/>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4</w:t>
            </w:r>
          </w:p>
        </w:tc>
        <w:tc>
          <w:tcPr>
            <w:tcW w:w="396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标段四 义齿</w:t>
            </w:r>
          </w:p>
        </w:tc>
        <w:tc>
          <w:tcPr>
            <w:tcW w:w="3967" w:type="dxa"/>
            <w:vMerge w:val="continue"/>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bl>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6</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6"/>
        <w:rPr>
          <w:rFonts w:hint="default" w:ascii="仿宋_GB2312" w:eastAsia="仿宋_GB2312"/>
          <w:b/>
          <w:sz w:val="32"/>
          <w:szCs w:val="32"/>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16"/>
              <w:numPr>
                <w:ilvl w:val="0"/>
                <w:numId w:val="7"/>
              </w:numPr>
              <w:rPr>
                <w:rFonts w:hint="eastAsia"/>
                <w:lang w:val="en-US" w:eastAsia="zh-CN"/>
              </w:rPr>
            </w:pPr>
            <w:r>
              <w:rPr>
                <w:rFonts w:hint="eastAsia"/>
                <w:lang w:val="en-US" w:eastAsia="zh-CN"/>
              </w:rPr>
              <w:t>根据产品的售后方案在0-5分范围内进行打分</w:t>
            </w:r>
          </w:p>
          <w:p>
            <w:pPr>
              <w:pStyle w:val="16"/>
              <w:numPr>
                <w:ilvl w:val="0"/>
                <w:numId w:val="7"/>
              </w:numPr>
              <w:rPr>
                <w:rFonts w:hint="eastAsia"/>
                <w:lang w:val="en-US" w:eastAsia="zh-CN"/>
              </w:rPr>
            </w:pPr>
            <w:r>
              <w:rPr>
                <w:rFonts w:hint="eastAsia"/>
                <w:lang w:val="en-US" w:eastAsia="zh-CN"/>
              </w:rPr>
              <w:t>根据其他优惠条件在0-10分范围内打分</w:t>
            </w:r>
          </w:p>
        </w:tc>
      </w:tr>
    </w:tbl>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20878640"/>
      <w:bookmarkStart w:id="2" w:name="_Toc258360269"/>
      <w:bookmarkStart w:id="3" w:name="_Toc10762"/>
      <w:bookmarkStart w:id="4" w:name="_Toc219626747"/>
      <w:bookmarkStart w:id="5" w:name="_Toc248896063"/>
      <w:bookmarkStart w:id="6" w:name="_Toc9548"/>
      <w:bookmarkStart w:id="7" w:name="_Toc258354146"/>
      <w:bookmarkStart w:id="8" w:name="_Toc17030"/>
      <w:bookmarkStart w:id="9" w:name="_Toc15313"/>
      <w:bookmarkStart w:id="10" w:name="_Toc261708863"/>
      <w:bookmarkStart w:id="11" w:name="_Toc337475854"/>
      <w:bookmarkStart w:id="12" w:name="_Toc304219257"/>
      <w:bookmarkStart w:id="13" w:name="_Toc337554724"/>
      <w:bookmarkStart w:id="14" w:name="_Toc25836015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6"/>
        <w:rPr>
          <w:rFonts w:ascii="方正小标宋简体" w:eastAsia="方正小标宋简体"/>
          <w:color w:val="000000"/>
          <w:sz w:val="44"/>
          <w:szCs w:val="44"/>
        </w:rPr>
      </w:pPr>
    </w:p>
    <w:p>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16"/>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25</TotalTime>
  <ScaleCrop>false</ScaleCrop>
  <LinksUpToDate>false</LinksUpToDate>
  <CharactersWithSpaces>8790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2023-11-28T00:38:00Z</cp:lastPrinted>
  <dcterms:modified xsi:type="dcterms:W3CDTF">2023-11-30T00:46:08Z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493DB46D37854FBB97BA6C655364FCA7</vt:lpwstr>
  </property>
</Properties>
</file>