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超声脉冲电导治疗仪采购项目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2022年3月18日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超声脉冲电导治疗仪采购项目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超声脉冲电导治疗仪采购项目</w:t>
      </w:r>
      <w:r>
        <w:rPr>
          <w:rFonts w:hint="eastAsia" w:ascii="仿宋_GB2312" w:eastAsia="仿宋_GB2312"/>
          <w:sz w:val="32"/>
          <w:szCs w:val="32"/>
        </w:rPr>
        <w:t>。</w:t>
      </w:r>
    </w:p>
    <w:p>
      <w:pPr>
        <w:numPr>
          <w:ilvl w:val="0"/>
          <w:numId w:val="3"/>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参数</w:t>
      </w:r>
    </w:p>
    <w:p>
      <w:pPr>
        <w:spacing w:line="500" w:lineRule="exact"/>
        <w:rPr>
          <w:rFonts w:hint="eastAsia" w:ascii="仿宋_GB2312" w:hAnsi="宋体" w:eastAsia="仿宋_GB2312"/>
          <w:b/>
          <w:bCs/>
          <w:color w:val="FF0000"/>
          <w:u w:val="single"/>
        </w:rPr>
      </w:pPr>
      <w:r>
        <w:rPr>
          <w:rFonts w:hint="eastAsia" w:ascii="仿宋_GB2312" w:hAnsi="宋体" w:eastAsia="仿宋_GB2312"/>
          <w:b/>
          <w:bCs/>
          <w:color w:val="FF0000"/>
        </w:rPr>
        <w:t>采购人</w:t>
      </w:r>
      <w:r>
        <w:rPr>
          <w:rFonts w:hint="eastAsia" w:ascii="仿宋_GB2312" w:hAnsi="宋体" w:eastAsia="仿宋_GB2312"/>
          <w:b/>
          <w:bCs/>
          <w:color w:val="FF0000"/>
          <w:u w:val="single"/>
        </w:rPr>
        <w:t xml:space="preserve">：新郑市公立人民医院  </w:t>
      </w:r>
    </w:p>
    <w:tbl>
      <w:tblPr>
        <w:tblStyle w:val="1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ascii="仿宋_GB2312" w:hAnsi="宋体" w:eastAsia="仿宋_GB2312"/>
                <w:b/>
                <w:bCs/>
                <w:color w:val="000000"/>
              </w:rPr>
              <w:t>超声脉冲电导治疗仪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lang w:eastAsia="zh-CN"/>
              </w:rPr>
            </w:pPr>
            <w:r>
              <w:rPr>
                <w:rFonts w:hint="eastAsia" w:ascii="仿宋_GB2312" w:hAnsi="宋体" w:eastAsia="仿宋_GB2312"/>
                <w:b/>
                <w:bCs/>
                <w:color w:val="FF0000"/>
                <w:u w:val="single"/>
                <w:lang w:eastAsia="zh-CN"/>
              </w:rPr>
              <w:t>国产</w:t>
            </w: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rPr>
            </w:pPr>
            <w:r>
              <w:rPr>
                <w:rFonts w:hint="eastAsia" w:ascii="仿宋_GB2312" w:hAnsi="宋体" w:eastAsia="仿宋_GB2312"/>
                <w:b/>
                <w:bCs/>
                <w:color w:val="000000"/>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sz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cs="Times New Roman"/>
                <w:bCs/>
              </w:rPr>
            </w:pPr>
            <w:r>
              <w:rPr>
                <w:rFonts w:hint="eastAsia" w:ascii="仿宋_GB2312" w:hAnsi="宋体" w:eastAsia="仿宋_GB2312" w:cs="Times New Roman"/>
                <w:bCs/>
              </w:rPr>
              <w:t>1.工作条件</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a）环境温度：10 ℃～40 ℃</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b）相对湿度</w:t>
            </w:r>
            <w:r>
              <w:rPr>
                <w:rFonts w:hint="eastAsia" w:ascii="仿宋_GB2312" w:hAnsi="宋体" w:eastAsia="仿宋_GB2312" w:cs="Times New Roman"/>
                <w:bCs/>
                <w:lang w:eastAsia="zh-CN"/>
              </w:rPr>
              <w:t>：</w:t>
            </w:r>
            <w:r>
              <w:rPr>
                <w:rFonts w:hint="eastAsia" w:ascii="仿宋_GB2312" w:hAnsi="宋体" w:eastAsia="仿宋_GB2312" w:cs="Times New Roman"/>
                <w:bCs/>
              </w:rPr>
              <w:t>30%～75%</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c）大气压力：700 hPa～1060hPa</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d）电源电压：AC220V±22V；50Hz±1Hz</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e）额定输入功率：39VA</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2.性能指标</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2.1电致孔：</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a）波形：指数波</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b）输出峰峰值：0V～50V，分50档调节，允差±10%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c）脉冲重复频率：2.5Hz，允差±10%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d）脉冲宽度:2ms，允差±10%；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e）脉冲数量:10个（正负各5个）</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2.2 超声波：</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a）额定输出功率：1.5W(Ø25换能器)，允差±20%；分7档可调；</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b）有效辐射面积：5cm2 (Ø25换能器)，允差±20%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c）有效声强：0.3W/cm2 (Ø25换能器), 允差±20%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d）声工作频率：1MHz,允差±10%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e）波束类型：准直型；</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f）波束不均匀系数：≤8；</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g）波形：脉冲波</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2.2 调制中频：</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a) 基波波形：方波，频率：2kHz,允差±10% ，脉冲宽度：230μs，允差 ±10%；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b) 调制波形：三角波、方波，频率：5.5Hz,允差±10%；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c) 调幅度：100%，允差±5%；</w:t>
            </w:r>
            <w:r>
              <w:rPr>
                <w:rFonts w:hint="eastAsia" w:ascii="仿宋_GB2312" w:hAnsi="宋体" w:eastAsia="仿宋_GB2312" w:cs="Times New Roman"/>
                <w:bCs/>
              </w:rPr>
              <w:tab/>
            </w:r>
            <w:r>
              <w:rPr>
                <w:rFonts w:hint="eastAsia" w:ascii="仿宋_GB2312" w:hAnsi="宋体" w:eastAsia="仿宋_GB2312" w:cs="Times New Roman"/>
                <w:bCs/>
              </w:rPr>
              <w:tab/>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d) 输出峰峰值：0V～50V，分50档调节，允差±10%；</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2.3 输出方式：双路输出。</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3.产品主要安全特征</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按防电击类型分类：Ⅱ类</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按防电击的程度分类：BF型</w:t>
            </w:r>
          </w:p>
          <w:p>
            <w:pPr>
              <w:spacing w:line="500" w:lineRule="exact"/>
              <w:rPr>
                <w:rFonts w:hint="eastAsia" w:ascii="仿宋_GB2312" w:hAnsi="宋体" w:eastAsia="仿宋_GB2312" w:cs="Times New Roman"/>
                <w:bCs/>
              </w:rPr>
            </w:pPr>
            <w:r>
              <w:rPr>
                <w:rFonts w:hint="eastAsia" w:ascii="仿宋_GB2312" w:hAnsi="宋体" w:eastAsia="仿宋_GB2312" w:cs="Times New Roman"/>
                <w:bCs/>
              </w:rPr>
              <w:t>按对进液的防护程度分类：整机：IPX0，超声电极治疗头IPX7</w:t>
            </w:r>
          </w:p>
          <w:p>
            <w:pPr>
              <w:spacing w:line="500" w:lineRule="exact"/>
              <w:rPr>
                <w:rFonts w:hint="eastAsia" w:ascii="仿宋_GB2312" w:hAnsi="宋体" w:eastAsia="仿宋_GB2312"/>
                <w:bCs/>
              </w:rPr>
            </w:pPr>
            <w:r>
              <w:rPr>
                <w:rFonts w:hint="eastAsia" w:ascii="仿宋_GB2312" w:hAnsi="宋体" w:eastAsia="仿宋_GB2312" w:cs="Times New Roman"/>
                <w:bCs/>
              </w:rPr>
              <w:t>设备的额定电压和频率：</w:t>
            </w:r>
            <w:bookmarkStart w:id="0" w:name="_Hlk531462351"/>
            <w:r>
              <w:rPr>
                <w:rFonts w:hint="eastAsia" w:ascii="仿宋_GB2312" w:hAnsi="宋体" w:eastAsia="仿宋_GB2312" w:cs="Times New Roman"/>
                <w:bCs/>
              </w:rPr>
              <w:t>AC220V；50Hz</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.2保修期内的开机率：投标方保证开机率9</w:t>
            </w:r>
            <w:r>
              <w:rPr>
                <w:rFonts w:hint="eastAsia" w:ascii="仿宋_GB2312" w:hAnsi="宋体" w:eastAsia="仿宋_GB2312"/>
                <w:bCs/>
                <w:lang w:val="en-US" w:eastAsia="zh-CN"/>
              </w:rPr>
              <w:t>8</w:t>
            </w:r>
            <w:r>
              <w:rPr>
                <w:rFonts w:hint="eastAsia" w:ascii="仿宋_GB2312" w:hAnsi="宋体" w:eastAsia="仿宋_GB2312"/>
                <w:bCs/>
              </w:rPr>
              <w:t>%（按一年365天计算）；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.4设备免费原厂保修期3年；质保期过后厂家免费维修，不换配件不收费。每半年免费保养一次。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.6根据设备技术要求，提供使用和维修技术人员培训</w:t>
            </w:r>
          </w:p>
        </w:tc>
      </w:tr>
    </w:tbl>
    <w:p>
      <w:pPr>
        <w:pStyle w:val="4"/>
        <w:rPr>
          <w:rFonts w:hint="eastAsia" w:ascii="黑体" w:hAnsi="黑体" w:eastAsia="黑体" w:cs="黑体"/>
          <w:sz w:val="32"/>
          <w:szCs w:val="32"/>
          <w:lang w:eastAsia="zh-CN"/>
        </w:rPr>
      </w:pPr>
    </w:p>
    <w:p>
      <w:pPr>
        <w:pStyle w:val="2"/>
        <w:rPr>
          <w:rFonts w:hint="eastAsia"/>
          <w:lang w:val="en-US" w:eastAsia="zh-CN"/>
        </w:rPr>
      </w:pP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三、供应商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ind w:firstLine="960" w:firstLineChars="300"/>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2"/>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4"/>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u w:val="single"/>
          <w:lang w:eastAsia="zh-CN"/>
        </w:rPr>
        <w:t>医疗设备</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w:t>
      </w:r>
      <w:r>
        <w:rPr>
          <w:rFonts w:hint="eastAsia" w:ascii="新宋体" w:hAnsi="新宋体" w:eastAsia="新宋体" w:cs="新宋体"/>
          <w:b/>
          <w:sz w:val="24"/>
          <w:lang w:val="en-US" w:eastAsia="zh-CN"/>
        </w:rPr>
        <w:t>新郑市公立人民医院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3"/>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交付时间：合同签订后30个工作日之内乙方向甲方交付设备。</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2、合同签订后，设备到货验收合格并正常使用6个月内支付设备总货款的90%,一年后支付剩余10%货款。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3、设备运至甲方指定地点，乙方应指派工程师安装，安装完成后应对甲方医生和相关操作人员进行设备操作和清洗消毒的免费培训，直至甲方操作人员能熟练操作为止，乙方承担培训的薪资、差旅等全部费用。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整机免费质保期为3年，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乙方技术人员负责对所供设备保修期内每3个月进行一次免费巡检保养，保修期外每半年维护保养一次，直至设备报废。巡检保养时请通知医学装备部医疗设备维修人员（联系电话：0371-56829202），否则，视为未巡检；免费质保期内如果出现三次以上因质量问题引起的故障（人为因素除外），乙方应负责免费更换全套新设备，更换设备按更换日期重新计免费质保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2、乙方如果不能按时提供甲方所需的合格设备，由此影响了甲方正常工作，甲方有权终止合同，如果甲方要求乙方继续供货，乙方从合同约定交货之日起按每日总货款的2%赔付，直至货到之日为止。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ascii="仿宋_GB2312" w:hAnsi="仿宋_GB2312" w:eastAsia="仿宋_GB2312" w:cs="仿宋_GB2312"/>
          <w:b/>
          <w:color w:val="000000"/>
          <w:kern w:val="0"/>
          <w:sz w:val="24"/>
          <w:lang w:bidi="ar"/>
        </w:rPr>
      </w:pPr>
    </w:p>
    <w:p>
      <w:pPr>
        <w:pStyle w:val="2"/>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pgSz w:w="11906" w:h="16838"/>
          <w:pgMar w:top="1440" w:right="1286" w:bottom="1440" w:left="1440" w:header="720" w:footer="720" w:gutter="0"/>
          <w:cols w:space="720" w:num="1"/>
          <w:formProt w:val="0"/>
          <w:docGrid w:type="lines" w:linePitch="312" w:charSpace="0"/>
        </w:sectPr>
      </w:pPr>
    </w:p>
    <w:p>
      <w:pPr>
        <w:jc w:val="center"/>
        <w:rPr>
          <w:rFonts w:ascii="黑体" w:hAnsi="黑体" w:eastAsia="黑体" w:cs="黑体"/>
          <w:sz w:val="32"/>
          <w:szCs w:val="32"/>
        </w:rPr>
      </w:pPr>
      <w:bookmarkStart w:id="16" w:name="_GoBack"/>
      <w:bookmarkEnd w:id="16"/>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2"/>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格式自拟（需包含所报产品单价、规格型号、品牌等）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1" w:name="_Toc258354146"/>
      <w:bookmarkStart w:id="2" w:name="_Toc337554724"/>
      <w:bookmarkStart w:id="3" w:name="_Toc258360158"/>
      <w:bookmarkStart w:id="4" w:name="_Toc248896063"/>
      <w:bookmarkStart w:id="5" w:name="_Toc17030"/>
      <w:bookmarkStart w:id="6" w:name="_Toc15313"/>
      <w:bookmarkStart w:id="7" w:name="_Toc304219257"/>
      <w:bookmarkStart w:id="8" w:name="_Toc261708863"/>
      <w:bookmarkStart w:id="9" w:name="_Toc320878640"/>
      <w:bookmarkStart w:id="10" w:name="_Toc9548"/>
      <w:bookmarkStart w:id="11" w:name="_Toc258360269"/>
      <w:bookmarkStart w:id="12" w:name="_Toc219626747"/>
      <w:bookmarkStart w:id="13" w:name="_Toc10762"/>
      <w:bookmarkStart w:id="14" w:name="_Toc258333636"/>
      <w:bookmarkStart w:id="15"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B9D1095"/>
    <w:rsid w:val="0BD8254C"/>
    <w:rsid w:val="0CE95F36"/>
    <w:rsid w:val="0CFB4C25"/>
    <w:rsid w:val="0E5B26BC"/>
    <w:rsid w:val="0E9016D0"/>
    <w:rsid w:val="0E93621F"/>
    <w:rsid w:val="111B0067"/>
    <w:rsid w:val="114C35D9"/>
    <w:rsid w:val="11953DFF"/>
    <w:rsid w:val="11B87F14"/>
    <w:rsid w:val="11C31BE9"/>
    <w:rsid w:val="12A11F66"/>
    <w:rsid w:val="14682D8B"/>
    <w:rsid w:val="15CF22E6"/>
    <w:rsid w:val="16A35C46"/>
    <w:rsid w:val="170D04F7"/>
    <w:rsid w:val="17D81E85"/>
    <w:rsid w:val="188744A6"/>
    <w:rsid w:val="1965314B"/>
    <w:rsid w:val="1A0C71E7"/>
    <w:rsid w:val="1BCA7DF5"/>
    <w:rsid w:val="1C900C49"/>
    <w:rsid w:val="1D5D013B"/>
    <w:rsid w:val="1D995826"/>
    <w:rsid w:val="1E4C6245"/>
    <w:rsid w:val="1F1D4095"/>
    <w:rsid w:val="213D0813"/>
    <w:rsid w:val="22023BDE"/>
    <w:rsid w:val="22401398"/>
    <w:rsid w:val="245F44FD"/>
    <w:rsid w:val="246624B2"/>
    <w:rsid w:val="24DF7354"/>
    <w:rsid w:val="24FE3AD7"/>
    <w:rsid w:val="25E13CF1"/>
    <w:rsid w:val="2643733F"/>
    <w:rsid w:val="264A511E"/>
    <w:rsid w:val="278100C0"/>
    <w:rsid w:val="288B4898"/>
    <w:rsid w:val="2A7E0BB7"/>
    <w:rsid w:val="2B0A7B44"/>
    <w:rsid w:val="2B7126E7"/>
    <w:rsid w:val="2ED21247"/>
    <w:rsid w:val="2F632DBF"/>
    <w:rsid w:val="30217C48"/>
    <w:rsid w:val="311B0235"/>
    <w:rsid w:val="31384F13"/>
    <w:rsid w:val="31827FC3"/>
    <w:rsid w:val="31EF1275"/>
    <w:rsid w:val="32367AE2"/>
    <w:rsid w:val="336D573F"/>
    <w:rsid w:val="33F956F6"/>
    <w:rsid w:val="35235DD9"/>
    <w:rsid w:val="35803DCD"/>
    <w:rsid w:val="359022EB"/>
    <w:rsid w:val="384A7AD5"/>
    <w:rsid w:val="3AD243FA"/>
    <w:rsid w:val="3B2A4846"/>
    <w:rsid w:val="3B5373B6"/>
    <w:rsid w:val="3C8F1C55"/>
    <w:rsid w:val="3CCF593D"/>
    <w:rsid w:val="3DA0606C"/>
    <w:rsid w:val="3EDC78BB"/>
    <w:rsid w:val="3EEB7664"/>
    <w:rsid w:val="433263AE"/>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4926ED9"/>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5681B75"/>
    <w:rsid w:val="76893AD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w:basedOn w:val="1"/>
    <w:qFormat/>
    <w:uiPriority w:val="1"/>
    <w:pPr>
      <w:ind w:left="117"/>
    </w:pPr>
    <w:rPr>
      <w:sz w:val="23"/>
      <w:szCs w:val="23"/>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9">
    <w:name w:val="FollowedHyperlink"/>
    <w:basedOn w:val="8"/>
    <w:qFormat/>
    <w:uiPriority w:val="0"/>
    <w:rPr>
      <w:color w:val="444444"/>
      <w:sz w:val="21"/>
      <w:szCs w:val="21"/>
      <w:u w:val="none"/>
    </w:rPr>
  </w:style>
  <w:style w:type="character" w:styleId="10">
    <w:name w:val="Hyperlink"/>
    <w:basedOn w:val="8"/>
    <w:semiHidden/>
    <w:unhideWhenUsed/>
    <w:qFormat/>
    <w:uiPriority w:val="99"/>
    <w:rPr>
      <w:rFonts w:ascii="微软雅黑" w:hAnsi="微软雅黑" w:eastAsia="微软雅黑" w:cs="微软雅黑"/>
      <w:color w:val="02396F"/>
      <w:u w:val="single"/>
    </w:rPr>
  </w:style>
  <w:style w:type="character" w:styleId="11">
    <w:name w:val="annotation reference"/>
    <w:basedOn w:val="8"/>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8"/>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8"/>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7817</Words>
  <Characters>8171</Characters>
  <Lines>55</Lines>
  <Paragraphs>15</Paragraphs>
  <TotalTime>5</TotalTime>
  <ScaleCrop>false</ScaleCrop>
  <LinksUpToDate>false</LinksUpToDate>
  <CharactersWithSpaces>8986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2022-03-18T00:43:21Z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