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消毒供应中心耗材及消杀产品采购</w:t>
      </w:r>
    </w:p>
    <w:p>
      <w:pPr>
        <w:jc w:val="center"/>
        <w:rPr>
          <w:rFonts w:ascii="黑体" w:hAnsi="黑体" w:eastAsia="黑体" w:cs="黑体"/>
          <w:sz w:val="52"/>
          <w:szCs w:val="52"/>
        </w:rPr>
      </w:pPr>
      <w:r>
        <w:rPr>
          <w:rFonts w:hint="eastAsia" w:ascii="黑体" w:hAnsi="黑体" w:eastAsia="黑体" w:cs="黑体"/>
          <w:sz w:val="52"/>
          <w:szCs w:val="52"/>
          <w:lang w:val="en-US" w:eastAsia="zh-CN"/>
        </w:rPr>
        <w:t>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2022年3月18日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消毒供应中心耗材及消杀产品采购项目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消毒供应中心耗材及消杀产品采购项目</w:t>
      </w:r>
      <w:r>
        <w:rPr>
          <w:rFonts w:hint="eastAsia" w:ascii="仿宋_GB2312" w:eastAsia="仿宋_GB2312"/>
          <w:sz w:val="32"/>
          <w:szCs w:val="32"/>
        </w:rPr>
        <w:t>。</w:t>
      </w:r>
    </w:p>
    <w:p>
      <w:pPr>
        <w:numPr>
          <w:ilvl w:val="0"/>
          <w:numId w:val="3"/>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参数</w:t>
      </w:r>
    </w:p>
    <w:p>
      <w:pPr>
        <w:pStyle w:val="4"/>
        <w:rPr>
          <w:rFonts w:hint="eastAsia" w:ascii="黑体" w:hAnsi="黑体" w:eastAsia="黑体" w:cs="黑体"/>
          <w:sz w:val="32"/>
          <w:szCs w:val="32"/>
          <w:lang w:eastAsia="zh-CN"/>
        </w:rPr>
      </w:pPr>
    </w:p>
    <w:p>
      <w:pPr>
        <w:pStyle w:val="4"/>
        <w:rPr>
          <w:rFonts w:hint="eastAsia"/>
          <w:lang w:val="en-US" w:eastAsia="zh-CN"/>
        </w:rPr>
      </w:pPr>
      <w:r>
        <w:rPr>
          <w:rFonts w:hint="eastAsia" w:ascii="黑体" w:hAnsi="黑体" w:eastAsia="黑体" w:cs="黑体"/>
          <w:sz w:val="32"/>
          <w:szCs w:val="32"/>
          <w:lang w:eastAsia="zh-CN"/>
        </w:rPr>
        <w:t>消杀类产品</w:t>
      </w:r>
    </w:p>
    <w:tbl>
      <w:tblPr>
        <w:tblStyle w:val="9"/>
        <w:tblW w:w="6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625"/>
        <w:gridCol w:w="237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序号</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物资名称</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规格型号</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皮肤粘膜消毒液</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500mL</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皮肤粘膜消毒液</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60mL</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皮肤消毒液</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60mL</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克菌洗手液</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1000mL</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克菌洗手液</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500mL</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三氯泡腾消毒片</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100片装</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手消毒液</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1000mL</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手消毒液</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500mL</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75%医用酒精</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60mL</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75%医用酒精</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500mL</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2625"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95%医用酒精</w:t>
            </w:r>
          </w:p>
        </w:tc>
        <w:tc>
          <w:tcPr>
            <w:tcW w:w="237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500mL</w:t>
            </w:r>
          </w:p>
        </w:tc>
        <w:tc>
          <w:tcPr>
            <w:tcW w:w="750" w:type="dxa"/>
            <w:noWrap w:val="0"/>
            <w:vAlign w:val="bottom"/>
          </w:tcPr>
          <w:p>
            <w:pPr>
              <w:keepNext w:val="0"/>
              <w:keepLines w:val="0"/>
              <w:widowControl/>
              <w:suppressLineNumbers w:val="0"/>
              <w:jc w:val="center"/>
              <w:textAlignment w:val="bottom"/>
              <w:rPr>
                <w:rFonts w:hint="eastAsia" w:ascii="黑体" w:hAnsi="黑体" w:eastAsia="黑体" w:cs="黑体"/>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81" w:type="dxa"/>
            <w:noWrap w:val="0"/>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62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万福金安消毒液</w:t>
            </w:r>
          </w:p>
        </w:tc>
        <w:tc>
          <w:tcPr>
            <w:tcW w:w="2370"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750"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r>
    </w:tbl>
    <w:p>
      <w:pPr>
        <w:rPr>
          <w:rFonts w:hint="eastAsia" w:ascii="黑体" w:hAnsi="黑体" w:eastAsia="黑体" w:cs="黑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消毒供应中心</w:t>
      </w:r>
      <w:r>
        <w:rPr>
          <w:rFonts w:hint="eastAsia" w:ascii="方正小标宋简体" w:hAnsi="方正小标宋简体" w:eastAsia="方正小标宋简体" w:cs="方正小标宋简体"/>
          <w:sz w:val="32"/>
          <w:szCs w:val="32"/>
          <w:lang w:val="en-US" w:eastAsia="zh-CN"/>
        </w:rPr>
        <w:t>耗材</w:t>
      </w:r>
    </w:p>
    <w:tbl>
      <w:tblPr>
        <w:tblStyle w:val="8"/>
        <w:tblW w:w="7336" w:type="dxa"/>
        <w:tblInd w:w="0" w:type="dxa"/>
        <w:tblLayout w:type="fixed"/>
        <w:tblCellMar>
          <w:top w:w="0" w:type="dxa"/>
          <w:left w:w="108" w:type="dxa"/>
          <w:bottom w:w="0" w:type="dxa"/>
          <w:right w:w="108" w:type="dxa"/>
        </w:tblCellMar>
      </w:tblPr>
      <w:tblGrid>
        <w:gridCol w:w="676"/>
        <w:gridCol w:w="3275"/>
        <w:gridCol w:w="2680"/>
        <w:gridCol w:w="705"/>
      </w:tblGrid>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品名</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医用吸水纸</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200mm*450mm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医用吸水纸</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400mm*450mm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追溯标签(变色、不变色）</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65*50mm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医用灭菌包装无纺布</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120cm*120cm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医疗器械碱性多酶清洗剂</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医疗器械黄斑清洗剂</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医疗器械除油剂</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医疗器械除锈剂</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压力蒸汽灭菌爬行式化学指示卡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IB1001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压力蒸汽灭菌极速综合挑战包</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CP1323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压力蒸汽灭菌化学指示标签</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LY25101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压力蒸汽灭菌化学测试包</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PD1321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压力蒸汽灭菌封包胶粘带</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TN19501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压力蒸汽灭菌1小时极速生物指示剂</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B1323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器械标识牌</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B8090B</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灭菌包装材料</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75mm*100m(S/E)平面-I型</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灭菌包装材料</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100mm*100m(S/E)平面-I型</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灭菌包装材料</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150mm*100m(S/E)平面-I型</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灭菌包装材料</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200mm*100m(S/E)平面-I型</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灭菌包装材料</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150mm*100m立体</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灭菌包装材料</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250mm*100m平面</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79"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过氧化氢低温等离子体灭菌器100过氧化氢卡匣</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12*2.2ml/内胆-PS100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tblPrEx>
          <w:tblCellMar>
            <w:top w:w="0" w:type="dxa"/>
            <w:left w:w="108" w:type="dxa"/>
            <w:bottom w:w="0" w:type="dxa"/>
            <w:right w:w="108" w:type="dxa"/>
          </w:tblCellMar>
        </w:tblPrEx>
        <w:trPr>
          <w:trHeight w:val="549"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过氧化氢低温等离子体灭菌过程指示胶带</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TB20351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过氧化氢低温等离子体灭菌包装袋</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100mm*100m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过氧化氢低温等离子体灭菌包装袋</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150mm*100m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过氧化氢低温等离子体灭菌包装袋</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200mm*100m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过氧化氢低温等离子体灭菌1小时极速生物指示剂</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B5002-50支/盒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封口测试纸</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100片/盒-高温覆膜</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封口测试纸</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100片/盒-低温覆膜</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r>
      <w:tr>
        <w:tblPrEx>
          <w:tblCellMar>
            <w:top w:w="0" w:type="dxa"/>
            <w:left w:w="108" w:type="dxa"/>
            <w:bottom w:w="0" w:type="dxa"/>
            <w:right w:w="108" w:type="dxa"/>
          </w:tblCellMar>
        </w:tblPrEx>
        <w:trPr>
          <w:trHeight w:val="359"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多效柔亮型润滑防锈剂</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除胶剂</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r>
      <w:tr>
        <w:tblPrEx>
          <w:tblCellMar>
            <w:top w:w="0" w:type="dxa"/>
            <w:left w:w="108" w:type="dxa"/>
            <w:bottom w:w="0" w:type="dxa"/>
            <w:right w:w="108" w:type="dxa"/>
          </w:tblCellMar>
        </w:tblPrEx>
        <w:trPr>
          <w:trHeight w:val="369"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B-D试验包</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BY1342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tblPrEx>
          <w:tblCellMar>
            <w:top w:w="0" w:type="dxa"/>
            <w:left w:w="108" w:type="dxa"/>
            <w:bottom w:w="0" w:type="dxa"/>
            <w:right w:w="108" w:type="dxa"/>
          </w:tblCellMar>
        </w:tblPrEx>
        <w:trPr>
          <w:trHeight w:val="579"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Ⅱ型过氧化氢低温等离子体灭菌过程指示卡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IR0503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134压力蒸汽灭菌化学指示卡</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IG1345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过氧化氢低温等离子体灭菌包装袋</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250mm*100m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医疗器械润滑剂（强效型）</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70600(5L)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全能强效多酶清洗液</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70508(5L)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r>
      <w:tr>
        <w:tblPrEx>
          <w:tblCellMar>
            <w:top w:w="0" w:type="dxa"/>
            <w:left w:w="108" w:type="dxa"/>
            <w:bottom w:w="0" w:type="dxa"/>
            <w:right w:w="108" w:type="dxa"/>
          </w:tblCellMar>
        </w:tblPrEx>
        <w:trPr>
          <w:trHeight w:val="57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灭菌书写指示胶带（压力蒸汽用）标签</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1322L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高效碱性清洗剂</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70700(5L)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r>
      <w:tr>
        <w:tblPrEx>
          <w:tblCellMar>
            <w:top w:w="0" w:type="dxa"/>
            <w:left w:w="108" w:type="dxa"/>
            <w:bottom w:w="0" w:type="dxa"/>
            <w:right w:w="108" w:type="dxa"/>
          </w:tblCellMar>
        </w:tblPrEx>
        <w:trPr>
          <w:trHeight w:val="37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除锈剂</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70400(5L)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灭菌包装材料（单体装）</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4" w:hRule="exac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医用无纺布（保护套）</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kern w:val="0"/>
                <w:sz w:val="20"/>
                <w:szCs w:val="20"/>
                <w:u w:val="none"/>
                <w:lang w:val="en-US" w:eastAsia="zh-CN" w:bidi="ar"/>
              </w:rPr>
            </w:pPr>
          </w:p>
        </w:tc>
      </w:tr>
    </w:tbl>
    <w:p>
      <w:pPr>
        <w:pStyle w:val="2"/>
        <w:rPr>
          <w:rFonts w:hint="eastAsia"/>
          <w:lang w:val="en-US" w:eastAsia="zh-CN"/>
        </w:rPr>
      </w:pP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三、供应商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ind w:firstLine="960" w:firstLineChars="300"/>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01"/>
        <w:gridCol w:w="2505"/>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5"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0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96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255"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05"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96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255"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0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55"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05"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对项目的理解（5分），对项目理解全面、准确，认识深刻得5分，对项目理解较透彻，认识较深刻得3分，对项目理解一般，认识一般得1分，完全没有相关内容的，本评分项得0分。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根据拟投入材料的品质、品牌、规格型号等内容在</w:t>
            </w:r>
            <w:r>
              <w:rPr>
                <w:rFonts w:hint="eastAsia" w:ascii="宋体" w:hAnsi="宋体" w:cs="宋体"/>
                <w:color w:val="000000" w:themeColor="text1"/>
                <w:szCs w:val="21"/>
                <w:lang w:val="en-US" w:eastAsia="zh-CN"/>
                <w14:textFill>
                  <w14:solidFill>
                    <w14:schemeClr w14:val="tx1"/>
                  </w14:solidFill>
                </w14:textFill>
              </w:rPr>
              <w:t>0-15分范围内打分</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工作进度计划安排（10分）根据投标人对项目的实施进度计划详细、合理程度在10-2分范围内进行打分，无相关内容的，本评分项得0分。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501"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hint="eastAsia"/>
                <w:lang w:val="en-US" w:eastAsia="zh-CN"/>
              </w:rPr>
            </w:pPr>
            <w:r>
              <w:rPr>
                <w:rFonts w:hint="eastAsia"/>
                <w:lang w:val="en-US" w:eastAsia="zh-CN"/>
              </w:rPr>
              <w:t>1.根据拟投入人员的资质、数量等方面在0-5分范围内打分。</w:t>
            </w:r>
          </w:p>
          <w:p>
            <w:pPr>
              <w:pStyle w:val="2"/>
              <w:rPr>
                <w:rFonts w:hint="eastAsia"/>
                <w:lang w:val="en-US" w:eastAsia="zh-CN"/>
              </w:rPr>
            </w:pPr>
            <w:r>
              <w:rPr>
                <w:rFonts w:hint="eastAsia"/>
                <w:lang w:val="en-US" w:eastAsia="zh-CN"/>
              </w:rPr>
              <w:t>2.根据拟投入设备情况在0-5分范围内进行打分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501"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50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960" w:type="dxa"/>
            <w:vAlign w:val="center"/>
          </w:tcPr>
          <w:p>
            <w:pPr>
              <w:pStyle w:val="14"/>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4"/>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4"/>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lang w:eastAsia="zh-CN"/>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2、交接方式：</w:t>
      </w:r>
      <w:r>
        <w:rPr>
          <w:rFonts w:hint="eastAsia" w:ascii="仿宋" w:hAnsi="仿宋" w:eastAsia="仿宋" w:cs="仿宋"/>
          <w:color w:val="auto"/>
          <w:spacing w:val="4"/>
          <w:sz w:val="24"/>
          <w:highlight w:val="none"/>
          <w:lang w:eastAsia="zh-CN"/>
        </w:rPr>
        <w:t>乙方</w:t>
      </w:r>
      <w:r>
        <w:rPr>
          <w:rFonts w:hint="eastAsia" w:ascii="仿宋" w:hAnsi="仿宋" w:eastAsia="仿宋" w:cs="仿宋"/>
          <w:color w:val="auto"/>
          <w:spacing w:val="4"/>
          <w:sz w:val="24"/>
          <w:highlight w:val="none"/>
        </w:rPr>
        <w:t>送货至甲方指定地点</w:t>
      </w:r>
      <w:r>
        <w:rPr>
          <w:rFonts w:hint="eastAsia"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3、乙方所供产品在甲方接收前所产生的运送费用及风险由乙方承担。甲方办理验收手续后的所有产品的保管费用由甲方承担。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rPr>
        <w:t>5、</w:t>
      </w:r>
      <w:r>
        <w:rPr>
          <w:rFonts w:hint="eastAsia" w:ascii="仿宋" w:hAnsi="仿宋" w:eastAsia="仿宋" w:cs="仿宋"/>
          <w:color w:val="auto"/>
          <w:spacing w:val="4"/>
          <w:sz w:val="24"/>
          <w:highlight w:val="none"/>
          <w:lang w:eastAsia="zh-CN"/>
        </w:rPr>
        <w:t>乙方保证所供产品质量符合国家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6、乙方可根据自身情况决定亲自配送耗材或委托第三方配送。货物到达甲方后，甲方应及时验收；甲方在收货后若有异议，须在收货后3日内以电话或书面形式提出。甲方对第三方配送有异议或产生拒收时，应及时通知乙方。对第三方配送过程中产生损坏的耗材，甲方</w:t>
      </w:r>
      <w:r>
        <w:rPr>
          <w:rFonts w:hint="eastAsia" w:ascii="仿宋" w:hAnsi="仿宋" w:eastAsia="仿宋" w:cs="仿宋"/>
          <w:color w:val="auto"/>
          <w:spacing w:val="4"/>
          <w:sz w:val="24"/>
          <w:highlight w:val="none"/>
          <w:lang w:eastAsia="zh-CN"/>
        </w:rPr>
        <w:t>有权</w:t>
      </w:r>
      <w:r>
        <w:rPr>
          <w:rFonts w:hint="eastAsia" w:ascii="仿宋" w:hAnsi="仿宋" w:eastAsia="仿宋" w:cs="仿宋"/>
          <w:color w:val="auto"/>
          <w:spacing w:val="4"/>
          <w:sz w:val="24"/>
          <w:highlight w:val="none"/>
        </w:rPr>
        <w:t>退货。</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7、乙方应按甲方需要在甲方指定地点为所供耗材的临床应用进行现场讲解或培训。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4、如每年乙方供货不及时超过三次（不可抗力除外），</w:t>
      </w:r>
      <w:r>
        <w:rPr>
          <w:rFonts w:hint="eastAsia" w:ascii="Arial" w:hAnsi="Arial" w:cs="Arial"/>
          <w:color w:val="auto"/>
          <w:sz w:val="24"/>
          <w:szCs w:val="24"/>
          <w:highlight w:val="none"/>
          <w:lang w:eastAsia="zh-CN"/>
        </w:rPr>
        <w:t>甲方有权解除本合同，乙方应</w:t>
      </w:r>
      <w:r>
        <w:rPr>
          <w:rFonts w:hint="eastAsia" w:ascii="Arial" w:hAnsi="Arial" w:cs="Arial"/>
          <w:color w:val="auto"/>
          <w:spacing w:val="0"/>
          <w:sz w:val="24"/>
          <w:highlight w:val="none"/>
          <w:lang w:eastAsia="zh-CN"/>
        </w:rPr>
        <w:t>承担</w:t>
      </w:r>
      <w:r>
        <w:rPr>
          <w:rFonts w:hint="eastAsia" w:ascii="Arial" w:hAnsi="Arial" w:eastAsia="宋体" w:cs="Arial"/>
          <w:color w:val="auto"/>
          <w:spacing w:val="0"/>
          <w:sz w:val="24"/>
          <w:highlight w:val="none"/>
        </w:rPr>
        <w:t>年供货量总额的</w:t>
      </w:r>
      <w:r>
        <w:rPr>
          <w:rFonts w:hint="eastAsia" w:ascii="Arial" w:hAnsi="Arial" w:cs="Arial"/>
          <w:color w:val="auto"/>
          <w:sz w:val="24"/>
          <w:szCs w:val="24"/>
          <w:highlight w:val="none"/>
          <w:lang w:eastAsia="zh-CN"/>
        </w:rPr>
        <w:t>百分之二十的违约金。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乙方必须保证所供植入介入性耗材的有效期在半年以上，一经发现有效期不足半年的，甲方有权要求退货处理，由此造成事故责任和经济损失，由乙方全部承担。乙方所供（非植入介入性）产品有效期必须大于三个月，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3、货物售出三个月内，对甲方未使用完要求退货的货物，应先征得乙方同意，且所退货物必须外包装良好、未破损丢失、不得影响乙方正常销售。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9"/>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numPr>
          <w:ilvl w:val="0"/>
          <w:numId w:val="0"/>
        </w:numPr>
        <w:jc w:val="center"/>
        <w:rPr>
          <w:rFonts w:hint="eastAsia" w:ascii="黑体" w:hAnsi="黑体" w:eastAsia="黑体" w:cs="黑体"/>
          <w:sz w:val="32"/>
          <w:szCs w:val="32"/>
          <w:lang w:eastAsia="zh-CN"/>
        </w:rPr>
      </w:pPr>
    </w:p>
    <w:p>
      <w:pPr>
        <w:pStyle w:val="2"/>
        <w:rPr>
          <w:rFonts w:hint="eastAsia"/>
          <w:lang w:eastAsia="zh-CN"/>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格式自拟（需包含所报产品单价、规格型号、品牌等</w:t>
            </w:r>
            <w:bookmarkStart w:id="15" w:name="_GoBack"/>
            <w:bookmarkEnd w:id="15"/>
            <w:r>
              <w:rPr>
                <w:rFonts w:hint="eastAsia" w:ascii="仿宋" w:hAnsi="仿宋" w:eastAsia="仿宋"/>
                <w:b/>
                <w:color w:val="C00000"/>
                <w:sz w:val="22"/>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219626747"/>
      <w:bookmarkStart w:id="5" w:name="_Toc320878640"/>
      <w:bookmarkStart w:id="6" w:name="_Toc9548"/>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2098473B"/>
    <w:multiLevelType w:val="singleLevel"/>
    <w:tmpl w:val="2098473B"/>
    <w:lvl w:ilvl="0" w:tentative="0">
      <w:start w:val="1"/>
      <w:numFmt w:val="chineseCounting"/>
      <w:suff w:val="nothing"/>
      <w:lvlText w:val="%1、"/>
      <w:lvlJc w:val="left"/>
      <w:rPr>
        <w:rFonts w:hint="eastAsia"/>
      </w:rPr>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416AE8B3"/>
    <w:multiLevelType w:val="singleLevel"/>
    <w:tmpl w:val="416AE8B3"/>
    <w:lvl w:ilvl="0" w:tentative="0">
      <w:start w:val="3"/>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84B6B"/>
    <w:rsid w:val="0B9D1095"/>
    <w:rsid w:val="0BD8254C"/>
    <w:rsid w:val="0CE95F36"/>
    <w:rsid w:val="0CFB4C25"/>
    <w:rsid w:val="0E5B26BC"/>
    <w:rsid w:val="0E9016D0"/>
    <w:rsid w:val="0E93621F"/>
    <w:rsid w:val="111B0067"/>
    <w:rsid w:val="114C35D9"/>
    <w:rsid w:val="11953DFF"/>
    <w:rsid w:val="11C31BE9"/>
    <w:rsid w:val="12A11F66"/>
    <w:rsid w:val="14682D8B"/>
    <w:rsid w:val="15CF22E6"/>
    <w:rsid w:val="16A35C46"/>
    <w:rsid w:val="170D04F7"/>
    <w:rsid w:val="17D81E85"/>
    <w:rsid w:val="188744A6"/>
    <w:rsid w:val="1965314B"/>
    <w:rsid w:val="1A0C71E7"/>
    <w:rsid w:val="1BCA7DF5"/>
    <w:rsid w:val="1C900C49"/>
    <w:rsid w:val="1D5D013B"/>
    <w:rsid w:val="1D995826"/>
    <w:rsid w:val="1E4C6245"/>
    <w:rsid w:val="1F1D4095"/>
    <w:rsid w:val="213D0813"/>
    <w:rsid w:val="22023BDE"/>
    <w:rsid w:val="22401398"/>
    <w:rsid w:val="245F44FD"/>
    <w:rsid w:val="246624B2"/>
    <w:rsid w:val="24DF7354"/>
    <w:rsid w:val="24FE3AD7"/>
    <w:rsid w:val="25E13CF1"/>
    <w:rsid w:val="2643733F"/>
    <w:rsid w:val="264A511E"/>
    <w:rsid w:val="278100C0"/>
    <w:rsid w:val="288B4898"/>
    <w:rsid w:val="2A7E0BB7"/>
    <w:rsid w:val="2B0A7B44"/>
    <w:rsid w:val="2B7126E7"/>
    <w:rsid w:val="2ED21247"/>
    <w:rsid w:val="2F632DBF"/>
    <w:rsid w:val="30217C48"/>
    <w:rsid w:val="311B0235"/>
    <w:rsid w:val="31384F13"/>
    <w:rsid w:val="31827FC3"/>
    <w:rsid w:val="31EF1275"/>
    <w:rsid w:val="32367AE2"/>
    <w:rsid w:val="336D573F"/>
    <w:rsid w:val="33F956F6"/>
    <w:rsid w:val="35235DD9"/>
    <w:rsid w:val="35803DCD"/>
    <w:rsid w:val="359022EB"/>
    <w:rsid w:val="384A7AD5"/>
    <w:rsid w:val="3AD243FA"/>
    <w:rsid w:val="3B2A4846"/>
    <w:rsid w:val="3B5373B6"/>
    <w:rsid w:val="3C8F1C55"/>
    <w:rsid w:val="3CCF593D"/>
    <w:rsid w:val="3DA0606C"/>
    <w:rsid w:val="3EDC78BB"/>
    <w:rsid w:val="3EEB7664"/>
    <w:rsid w:val="433263AE"/>
    <w:rsid w:val="44504B88"/>
    <w:rsid w:val="44B67130"/>
    <w:rsid w:val="456841B6"/>
    <w:rsid w:val="4656733B"/>
    <w:rsid w:val="46BB2C0A"/>
    <w:rsid w:val="47552A75"/>
    <w:rsid w:val="486D7AF7"/>
    <w:rsid w:val="494804BB"/>
    <w:rsid w:val="4A2A20B9"/>
    <w:rsid w:val="4B4638AD"/>
    <w:rsid w:val="4B9C1C97"/>
    <w:rsid w:val="4BC500AA"/>
    <w:rsid w:val="4C1C5AD5"/>
    <w:rsid w:val="4FCE5CD6"/>
    <w:rsid w:val="514F77D3"/>
    <w:rsid w:val="53501B3C"/>
    <w:rsid w:val="550B217C"/>
    <w:rsid w:val="563E288F"/>
    <w:rsid w:val="57162389"/>
    <w:rsid w:val="57575861"/>
    <w:rsid w:val="5AD50E25"/>
    <w:rsid w:val="5CEA2A63"/>
    <w:rsid w:val="5D327E39"/>
    <w:rsid w:val="5D4D3632"/>
    <w:rsid w:val="5ED90E8F"/>
    <w:rsid w:val="615523A0"/>
    <w:rsid w:val="649D2897"/>
    <w:rsid w:val="64BF3E0B"/>
    <w:rsid w:val="64E26821"/>
    <w:rsid w:val="65207F71"/>
    <w:rsid w:val="66016CC0"/>
    <w:rsid w:val="67C71CC5"/>
    <w:rsid w:val="695C7637"/>
    <w:rsid w:val="6A67750E"/>
    <w:rsid w:val="6CD8518D"/>
    <w:rsid w:val="6ECA7999"/>
    <w:rsid w:val="6F8E4227"/>
    <w:rsid w:val="70E04A7D"/>
    <w:rsid w:val="70F03E6A"/>
    <w:rsid w:val="71B367CA"/>
    <w:rsid w:val="745F5922"/>
    <w:rsid w:val="76893AD7"/>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w:basedOn w:val="1"/>
    <w:qFormat/>
    <w:uiPriority w:val="1"/>
    <w:pPr>
      <w:ind w:left="117"/>
    </w:pPr>
    <w:rPr>
      <w:sz w:val="23"/>
      <w:szCs w:val="23"/>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10"/>
    <w:qFormat/>
    <w:uiPriority w:val="0"/>
  </w:style>
  <w:style w:type="paragraph" w:customStyle="1" w:styleId="18">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晴晴</cp:lastModifiedBy>
  <cp:lastPrinted>2021-12-21T12:11:00Z</cp:lastPrinted>
  <dcterms:modified xsi:type="dcterms:W3CDTF">2022-03-17T06:34:15Z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493DB46D37854FBB97BA6C655364FCA7</vt:lpwstr>
  </property>
</Properties>
</file>