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一批医用耗材、试剂采购项目磋商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2022年3月22日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一批医用耗材、试剂采购项目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一批医用耗材、试剂采购项目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eastAsia="zh-CN"/>
        </w:rPr>
        <w:t>项目清单：</w:t>
      </w:r>
      <w:r>
        <w:rPr>
          <w:rFonts w:hint="eastAsia" w:ascii="仿宋_GB2312" w:hAnsi="Calibri" w:eastAsia="仿宋_GB2312" w:cs="Times New Roman"/>
          <w:kern w:val="2"/>
          <w:sz w:val="32"/>
          <w:szCs w:val="32"/>
          <w:lang w:val="en-US" w:eastAsia="zh-CN" w:bidi="ar-SA"/>
        </w:rPr>
        <w:t>见附件</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color w:val="auto"/>
          <w:sz w:val="32"/>
          <w:szCs w:val="32"/>
        </w:rPr>
      </w:pPr>
      <w:r>
        <w:rPr>
          <w:rFonts w:hint="eastAsia" w:ascii="黑体" w:eastAsia="黑体"/>
          <w:sz w:val="32"/>
          <w:szCs w:val="32"/>
          <w:lang w:val="en-US" w:eastAsia="zh-CN"/>
        </w:rPr>
        <w:t>服务期限：</w:t>
      </w:r>
      <w:r>
        <w:rPr>
          <w:rFonts w:hint="eastAsia" w:ascii="仿宋_GB2312" w:hAnsi="Calibri" w:eastAsia="仿宋_GB2312" w:cs="Times New Roman"/>
          <w:kern w:val="2"/>
          <w:sz w:val="32"/>
          <w:szCs w:val="32"/>
          <w:lang w:val="en-US" w:eastAsia="zh-CN" w:bidi="ar-SA"/>
        </w:rPr>
        <w:t>自签订合同之日起</w:t>
      </w:r>
      <w:r>
        <w:rPr>
          <w:rFonts w:hint="eastAsia" w:ascii="仿宋_GB2312" w:eastAsia="仿宋_GB2312" w:cs="Times New Roman"/>
          <w:kern w:val="2"/>
          <w:sz w:val="32"/>
          <w:szCs w:val="32"/>
          <w:lang w:val="en-US" w:eastAsia="zh-CN" w:bidi="ar-SA"/>
        </w:rPr>
        <w:t>三</w:t>
      </w:r>
      <w:r>
        <w:rPr>
          <w:rFonts w:hint="eastAsia" w:ascii="仿宋_GB2312" w:hAnsi="Calibri" w:eastAsia="仿宋_GB2312" w:cs="Times New Roman"/>
          <w:kern w:val="2"/>
          <w:sz w:val="32"/>
          <w:szCs w:val="32"/>
          <w:lang w:val="en-US" w:eastAsia="zh-CN" w:bidi="ar-SA"/>
        </w:rPr>
        <w:t>年</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28</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0-12:00,14:00-17:00（北京时间）】</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bookmarkStart w:id="15" w:name="_GoBack"/>
      <w:bookmarkEnd w:id="15"/>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pStyle w:val="2"/>
        <w:rPr>
          <w:rFonts w:hint="eastAsia" w:ascii="黑体" w:hAnsi="黑体" w:eastAsia="黑体" w:cs="黑体"/>
          <w:sz w:val="32"/>
          <w:szCs w:val="32"/>
          <w:lang w:eastAsia="zh-CN"/>
        </w:rPr>
      </w:pP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4"/>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501"/>
        <w:gridCol w:w="2505"/>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255"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505"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96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255"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05"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96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服务承诺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255"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50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255"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505"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960" w:type="dxa"/>
          </w:tcPr>
          <w:p>
            <w:pPr>
              <w:pStyle w:val="2"/>
              <w:numPr>
                <w:ilvl w:val="0"/>
                <w:numId w:val="0"/>
              </w:numPr>
              <w:rPr>
                <w:rFonts w:ascii="宋体" w:hAnsi="宋体" w:cs="宋体"/>
                <w:color w:val="000000" w:themeColor="text1"/>
                <w:szCs w:val="21"/>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对项目的理解（5分），对项目理解全面、准确，认识深刻得5分，对项目理解较透彻，认识较深刻得3分，对项目理解一般，认识一般得1分，完全没有相关内容的，本评分项得0分。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255"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505"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96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工作内容（</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lang w:eastAsia="zh-CN"/>
                <w14:textFill>
                  <w14:solidFill>
                    <w14:schemeClr w14:val="tx1"/>
                  </w14:solidFill>
                </w14:textFill>
              </w:rPr>
              <w:t>根据拟投入材料的品质、品牌、规格型号等内容在</w:t>
            </w:r>
            <w:r>
              <w:rPr>
                <w:rFonts w:hint="eastAsia" w:ascii="宋体" w:hAnsi="宋体" w:cs="宋体"/>
                <w:color w:val="000000" w:themeColor="text1"/>
                <w:szCs w:val="21"/>
                <w:lang w:val="en-US" w:eastAsia="zh-CN"/>
                <w14:textFill>
                  <w14:solidFill>
                    <w14:schemeClr w14:val="tx1"/>
                  </w14:solidFill>
                </w14:textFill>
              </w:rPr>
              <w:t>0-15分范围内打分</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5"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505"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960" w:type="dxa"/>
          </w:tcPr>
          <w:p>
            <w:pPr>
              <w:pStyle w:val="2"/>
              <w:numPr>
                <w:ilvl w:val="0"/>
                <w:numId w:val="0"/>
              </w:numPr>
              <w:rPr>
                <w:rFonts w:ascii="宋体" w:hAnsi="宋体" w:cs="宋体"/>
                <w:color w:val="000000" w:themeColor="text1"/>
                <w:szCs w:val="21"/>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工作进度计划安排（10分）根据投标人对项目的实施进度计划详细、合理程度在10-2分范围内进行打分，无相关内容的，本评分项得0分。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501"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autoSpaceDE w:val="0"/>
              <w:autoSpaceDN w:val="0"/>
              <w:adjustRightInd w:val="0"/>
              <w:spacing w:before="120" w:after="120" w:line="360" w:lineRule="auto"/>
              <w:rPr>
                <w:rFonts w:hint="eastAsia"/>
                <w:lang w:val="en-US" w:eastAsia="zh-CN"/>
              </w:rPr>
            </w:pPr>
            <w:r>
              <w:rPr>
                <w:rFonts w:hint="eastAsia"/>
                <w:lang w:val="en-US" w:eastAsia="zh-CN"/>
              </w:rPr>
              <w:t>1.根据拟投入人员的资质、数量等方面在0-5分范围内打分。</w:t>
            </w:r>
          </w:p>
          <w:p>
            <w:pPr>
              <w:pStyle w:val="2"/>
              <w:rPr>
                <w:rFonts w:hint="eastAsia"/>
                <w:lang w:val="en-US" w:eastAsia="zh-CN"/>
              </w:rPr>
            </w:pPr>
            <w:r>
              <w:rPr>
                <w:rFonts w:hint="eastAsia"/>
                <w:lang w:val="en-US" w:eastAsia="zh-CN"/>
              </w:rPr>
              <w:t>2.根据拟投入设备情况在0-5分范围内进行打分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501"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501"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960" w:type="dxa"/>
            <w:vAlign w:val="center"/>
          </w:tcPr>
          <w:p>
            <w:pPr>
              <w:pStyle w:val="16"/>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1-3分范围内进行打分，送货时间最短的得满分3分。</w:t>
            </w:r>
          </w:p>
          <w:p>
            <w:pPr>
              <w:pStyle w:val="16"/>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6"/>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hint="eastAsia" w:ascii="黑体" w:hAnsi="黑体" w:eastAsia="黑体" w:cs="黑体"/>
          <w:sz w:val="32"/>
          <w:szCs w:val="32"/>
          <w:lang w:eastAsia="zh-CN"/>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numPr>
          <w:ilvl w:val="0"/>
          <w:numId w:val="7"/>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方配送交货地点由甲方指定。</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4、如每年乙方供货不及时超过三次（不可抗力除外），</w:t>
      </w:r>
      <w:r>
        <w:rPr>
          <w:rFonts w:hint="eastAsia" w:ascii="Arial" w:hAnsi="Arial" w:cs="Arial"/>
          <w:color w:val="auto"/>
          <w:sz w:val="24"/>
          <w:szCs w:val="24"/>
          <w:highlight w:val="none"/>
          <w:lang w:eastAsia="zh-CN"/>
        </w:rPr>
        <w:t>甲方有权解除本合同，乙方应</w:t>
      </w:r>
      <w:r>
        <w:rPr>
          <w:rFonts w:hint="eastAsia" w:ascii="Arial" w:hAnsi="Arial" w:cs="Arial"/>
          <w:color w:val="auto"/>
          <w:spacing w:val="0"/>
          <w:sz w:val="24"/>
          <w:highlight w:val="none"/>
          <w:lang w:eastAsia="zh-CN"/>
        </w:rPr>
        <w:t>承担</w:t>
      </w:r>
      <w:r>
        <w:rPr>
          <w:rFonts w:hint="eastAsia" w:ascii="Arial" w:hAnsi="Arial" w:eastAsia="宋体" w:cs="Arial"/>
          <w:color w:val="auto"/>
          <w:spacing w:val="0"/>
          <w:sz w:val="24"/>
          <w:highlight w:val="none"/>
        </w:rPr>
        <w:t>年供货量总额的</w:t>
      </w:r>
      <w:r>
        <w:rPr>
          <w:rFonts w:hint="eastAsia" w:ascii="Arial" w:hAnsi="Arial" w:cs="Arial"/>
          <w:color w:val="auto"/>
          <w:sz w:val="24"/>
          <w:szCs w:val="24"/>
          <w:highlight w:val="none"/>
          <w:lang w:eastAsia="zh-CN"/>
        </w:rPr>
        <w:t>百分之二十的违约金。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rPr>
          <w:rFonts w:hint="eastAsia" w:ascii="黑体" w:hAnsi="黑体" w:eastAsia="黑体" w:cs="黑体"/>
          <w:sz w:val="32"/>
          <w:szCs w:val="32"/>
        </w:rPr>
      </w:pPr>
      <w:r>
        <w:rPr>
          <w:rFonts w:hint="eastAsia" w:ascii="黑体" w:hAnsi="黑体" w:eastAsia="黑体" w:cs="黑体"/>
          <w:sz w:val="32"/>
          <w:szCs w:val="32"/>
        </w:rPr>
        <w:t>附件：</w:t>
      </w:r>
    </w:p>
    <w:tbl>
      <w:tblPr>
        <w:tblStyle w:val="15"/>
        <w:tblW w:w="10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4"/>
        <w:tblW w:w="95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格式自拟（需包含所报耗材省标代码、注册证名称、品牌、规格型号、生产企业、单价等）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0762"/>
      <w:bookmarkStart w:id="1" w:name="_Toc258333636"/>
      <w:bookmarkStart w:id="2" w:name="_Toc320878640"/>
      <w:bookmarkStart w:id="3" w:name="_Toc304219257"/>
      <w:bookmarkStart w:id="4" w:name="_Toc15313"/>
      <w:bookmarkStart w:id="5" w:name="_Toc258354146"/>
      <w:bookmarkStart w:id="6" w:name="_Toc17030"/>
      <w:bookmarkStart w:id="7" w:name="_Toc337554724"/>
      <w:bookmarkStart w:id="8" w:name="_Toc337475854"/>
      <w:bookmarkStart w:id="9" w:name="_Toc258360158"/>
      <w:bookmarkStart w:id="10" w:name="_Toc9548"/>
      <w:bookmarkStart w:id="11" w:name="_Toc248896063"/>
      <w:bookmarkStart w:id="12" w:name="_Toc261708863"/>
      <w:bookmarkStart w:id="13" w:name="_Toc258360269"/>
      <w:bookmarkStart w:id="14" w:name="_Toc21962674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2"/>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45330"/>
    <w:rsid w:val="00CE1A27"/>
    <w:rsid w:val="00D47DAF"/>
    <w:rsid w:val="03C05FE9"/>
    <w:rsid w:val="041C0681"/>
    <w:rsid w:val="045C4934"/>
    <w:rsid w:val="06AB0CBE"/>
    <w:rsid w:val="07115D57"/>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81A4847"/>
    <w:rsid w:val="288B4898"/>
    <w:rsid w:val="28AE7436"/>
    <w:rsid w:val="2A7E0BB7"/>
    <w:rsid w:val="2A826BC7"/>
    <w:rsid w:val="2B0A7B44"/>
    <w:rsid w:val="2ED21247"/>
    <w:rsid w:val="2F632DBF"/>
    <w:rsid w:val="30217C48"/>
    <w:rsid w:val="311B0235"/>
    <w:rsid w:val="31384F13"/>
    <w:rsid w:val="31827FC3"/>
    <w:rsid w:val="32367AE2"/>
    <w:rsid w:val="33F956F6"/>
    <w:rsid w:val="35235DD9"/>
    <w:rsid w:val="355D343E"/>
    <w:rsid w:val="35803DCD"/>
    <w:rsid w:val="359022EB"/>
    <w:rsid w:val="384A7AD5"/>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9C1C97"/>
    <w:rsid w:val="4BC500AA"/>
    <w:rsid w:val="4C1C5AD5"/>
    <w:rsid w:val="4FCE5CD6"/>
    <w:rsid w:val="503F3FE4"/>
    <w:rsid w:val="514F77D3"/>
    <w:rsid w:val="533D08A8"/>
    <w:rsid w:val="53501B3C"/>
    <w:rsid w:val="53EC32EF"/>
    <w:rsid w:val="550B217C"/>
    <w:rsid w:val="55803735"/>
    <w:rsid w:val="563E288F"/>
    <w:rsid w:val="57162389"/>
    <w:rsid w:val="57575861"/>
    <w:rsid w:val="5AD50E25"/>
    <w:rsid w:val="5C0B1608"/>
    <w:rsid w:val="5CEA2A63"/>
    <w:rsid w:val="5D327E39"/>
    <w:rsid w:val="5D4D3632"/>
    <w:rsid w:val="5ED90E8F"/>
    <w:rsid w:val="60247155"/>
    <w:rsid w:val="603040BB"/>
    <w:rsid w:val="615523A0"/>
    <w:rsid w:val="61A05A1B"/>
    <w:rsid w:val="649D2897"/>
    <w:rsid w:val="64BF3E0B"/>
    <w:rsid w:val="64E26821"/>
    <w:rsid w:val="65207F71"/>
    <w:rsid w:val="66016CC0"/>
    <w:rsid w:val="67C71CC5"/>
    <w:rsid w:val="695C7637"/>
    <w:rsid w:val="6A3805EE"/>
    <w:rsid w:val="6A67750E"/>
    <w:rsid w:val="6BDA23AB"/>
    <w:rsid w:val="6CD8518D"/>
    <w:rsid w:val="6ECA7999"/>
    <w:rsid w:val="6F7B0CA4"/>
    <w:rsid w:val="6F8E4227"/>
    <w:rsid w:val="70201765"/>
    <w:rsid w:val="70E04A7D"/>
    <w:rsid w:val="70F03E6A"/>
    <w:rsid w:val="71B367CA"/>
    <w:rsid w:val="72AF20B0"/>
    <w:rsid w:val="745F5922"/>
    <w:rsid w:val="75441CAA"/>
    <w:rsid w:val="77F35741"/>
    <w:rsid w:val="78481C82"/>
    <w:rsid w:val="78BC0632"/>
    <w:rsid w:val="78BE0AF1"/>
    <w:rsid w:val="792701E6"/>
    <w:rsid w:val="798E357B"/>
    <w:rsid w:val="79D27142"/>
    <w:rsid w:val="7A8647EE"/>
    <w:rsid w:val="7AFC68A2"/>
    <w:rsid w:val="7B655EDF"/>
    <w:rsid w:val="7BC97F92"/>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11">
    <w:name w:val="FollowedHyperlink"/>
    <w:basedOn w:val="10"/>
    <w:qFormat/>
    <w:uiPriority w:val="0"/>
    <w:rPr>
      <w:color w:val="444444"/>
      <w:sz w:val="21"/>
      <w:szCs w:val="21"/>
      <w:u w:val="none"/>
    </w:rPr>
  </w:style>
  <w:style w:type="character" w:styleId="12">
    <w:name w:val="Hyperlink"/>
    <w:basedOn w:val="10"/>
    <w:semiHidden/>
    <w:unhideWhenUsed/>
    <w:qFormat/>
    <w:uiPriority w:val="99"/>
    <w:rPr>
      <w:rFonts w:ascii="微软雅黑" w:hAnsi="微软雅黑" w:eastAsia="微软雅黑" w:cs="微软雅黑"/>
      <w:color w:val="02396F"/>
      <w:u w:val="single"/>
    </w:rPr>
  </w:style>
  <w:style w:type="character" w:styleId="13">
    <w:name w:val="annotation reference"/>
    <w:basedOn w:val="10"/>
    <w:qFormat/>
    <w:uiPriority w:val="0"/>
    <w:rPr>
      <w:sz w:val="21"/>
      <w:szCs w:val="21"/>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0"/>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0"/>
    <w:qFormat/>
    <w:uiPriority w:val="0"/>
  </w:style>
  <w:style w:type="paragraph" w:customStyle="1" w:styleId="20">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2022-03-22T07:40:26Z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493DB46D37854FBB97BA6C655364FCA7</vt:lpwstr>
  </property>
</Properties>
</file>