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一批骨科手术器械采购项目磋商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2022年2月24日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一批骨科手术器械采购项目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一批骨科手术器械采购项目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pPr>
        <w:pStyle w:val="2"/>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sz w:val="32"/>
          <w:szCs w:val="32"/>
          <w:lang w:eastAsia="zh-CN"/>
        </w:rPr>
        <w:t>项目清单：</w:t>
      </w:r>
      <w:r>
        <w:rPr>
          <w:rFonts w:hint="eastAsia" w:ascii="仿宋_GB2312" w:hAnsi="Calibri" w:eastAsia="仿宋_GB2312" w:cs="Times New Roman"/>
          <w:kern w:val="2"/>
          <w:sz w:val="32"/>
          <w:szCs w:val="32"/>
          <w:lang w:val="en-US" w:eastAsia="zh-CN" w:bidi="ar-SA"/>
        </w:rPr>
        <w:t>见附件</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color w:val="auto"/>
          <w:sz w:val="32"/>
          <w:szCs w:val="32"/>
        </w:rPr>
      </w:pPr>
      <w:r>
        <w:rPr>
          <w:rFonts w:hint="eastAsia" w:ascii="黑体" w:eastAsia="黑体"/>
          <w:sz w:val="32"/>
          <w:szCs w:val="32"/>
          <w:lang w:val="en-US" w:eastAsia="zh-CN"/>
        </w:rPr>
        <w:t>服务期限：</w:t>
      </w:r>
      <w:r>
        <w:rPr>
          <w:rFonts w:hint="eastAsia" w:ascii="仿宋_GB2312" w:hAnsi="Calibri" w:eastAsia="仿宋_GB2312" w:cs="Times New Roman"/>
          <w:kern w:val="2"/>
          <w:sz w:val="32"/>
          <w:szCs w:val="32"/>
          <w:lang w:val="en-US" w:eastAsia="zh-CN" w:bidi="ar-SA"/>
        </w:rPr>
        <w:t>自签订合同之日起一年</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2</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【工作日8:30-12:00,14:00-17:00（北京时间）】</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网上报名</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先生</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pStyle w:val="2"/>
        <w:rPr>
          <w:rFonts w:hint="eastAsia" w:ascii="黑体" w:hAnsi="黑体" w:eastAsia="黑体" w:cs="黑体"/>
          <w:sz w:val="32"/>
          <w:szCs w:val="32"/>
          <w:lang w:eastAsia="zh-CN"/>
        </w:rPr>
      </w:pP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4"/>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501"/>
        <w:gridCol w:w="2505"/>
        <w:gridCol w:w="4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255"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505"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96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255"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505"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96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项目实施方案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w:t>
            </w:r>
            <w:r>
              <w:rPr>
                <w:rFonts w:hint="eastAsia" w:ascii="宋体" w:hAnsi="宋体" w:cs="宋体"/>
                <w:color w:val="000000" w:themeColor="text1"/>
                <w:szCs w:val="21"/>
                <w:u w:val="single"/>
                <w14:textFill>
                  <w14:solidFill>
                    <w14:schemeClr w14:val="tx1"/>
                  </w14:solidFill>
                </w14:textFill>
              </w:rPr>
              <w:t xml:space="preserve">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服务承诺</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 xml:space="preserve">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255"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505"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96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1255"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505"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项目实施方案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4960" w:type="dxa"/>
          </w:tcPr>
          <w:p>
            <w:pPr>
              <w:pStyle w:val="2"/>
              <w:numPr>
                <w:ilvl w:val="0"/>
                <w:numId w:val="0"/>
              </w:numPr>
              <w:rPr>
                <w:rFonts w:ascii="宋体" w:hAnsi="宋体" w:cs="宋体"/>
                <w:color w:val="000000" w:themeColor="text1"/>
                <w:szCs w:val="21"/>
                <w14:textFill>
                  <w14:solidFill>
                    <w14:schemeClr w14:val="tx1"/>
                  </w14:solidFill>
                </w14:textFill>
              </w:rPr>
            </w:pPr>
            <w:r>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t>对项目的理解（5分），对项目理解全面、准确，认识深刻得5分，对项目理解较透彻，认识较深刻得3分，对项目理解一般，认识一般得1分，完全没有相关内容的，本评分项得0分。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255"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505"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96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工作内容（</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r>
              <w:rPr>
                <w:rFonts w:hint="eastAsia" w:ascii="宋体" w:hAnsi="宋体" w:cs="宋体"/>
                <w:color w:val="000000" w:themeColor="text1"/>
                <w:szCs w:val="21"/>
                <w:lang w:eastAsia="zh-CN"/>
                <w14:textFill>
                  <w14:solidFill>
                    <w14:schemeClr w14:val="tx1"/>
                  </w14:solidFill>
                </w14:textFill>
              </w:rPr>
              <w:t>根据拟投入材料的品质、品牌、规格型号等内容在</w:t>
            </w:r>
            <w:r>
              <w:rPr>
                <w:rFonts w:hint="eastAsia" w:ascii="宋体" w:hAnsi="宋体" w:cs="宋体"/>
                <w:color w:val="000000" w:themeColor="text1"/>
                <w:szCs w:val="21"/>
                <w:lang w:val="en-US" w:eastAsia="zh-CN"/>
                <w14:textFill>
                  <w14:solidFill>
                    <w14:schemeClr w14:val="tx1"/>
                  </w14:solidFill>
                </w14:textFill>
              </w:rPr>
              <w:t>0-15分范围内打分</w:t>
            </w: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55"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505"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960" w:type="dxa"/>
          </w:tcPr>
          <w:p>
            <w:pPr>
              <w:pStyle w:val="2"/>
              <w:numPr>
                <w:ilvl w:val="0"/>
                <w:numId w:val="0"/>
              </w:numPr>
              <w:rPr>
                <w:rFonts w:ascii="宋体" w:hAnsi="宋体" w:cs="宋体"/>
                <w:color w:val="000000" w:themeColor="text1"/>
                <w:szCs w:val="21"/>
                <w14:textFill>
                  <w14:solidFill>
                    <w14:schemeClr w14:val="tx1"/>
                  </w14:solidFill>
                </w14:textFill>
              </w:rPr>
            </w:pPr>
            <w:r>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t>工作进度计划安排（10分）根据投标人对项目的实施进度计划详细、合理程度在10-2分范围内进行打分，无相关内容的，本评分项得0分。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501"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505"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4960" w:type="dxa"/>
            <w:vAlign w:val="center"/>
          </w:tcPr>
          <w:p>
            <w:pPr>
              <w:autoSpaceDE w:val="0"/>
              <w:autoSpaceDN w:val="0"/>
              <w:adjustRightInd w:val="0"/>
              <w:spacing w:before="120" w:after="120" w:line="360" w:lineRule="auto"/>
              <w:rPr>
                <w:rFonts w:hint="eastAsia"/>
                <w:lang w:val="en-US" w:eastAsia="zh-CN"/>
              </w:rPr>
            </w:pPr>
            <w:r>
              <w:rPr>
                <w:rFonts w:hint="eastAsia"/>
                <w:lang w:val="en-US" w:eastAsia="zh-CN"/>
              </w:rPr>
              <w:t>1.根据拟投入人员的资质、数量等方面在0-5分范围内打分。</w:t>
            </w:r>
          </w:p>
          <w:p>
            <w:pPr>
              <w:pStyle w:val="2"/>
              <w:rPr>
                <w:rFonts w:hint="eastAsia"/>
                <w:lang w:val="en-US" w:eastAsia="zh-CN"/>
              </w:rPr>
            </w:pPr>
            <w:r>
              <w:rPr>
                <w:rFonts w:hint="eastAsia"/>
                <w:lang w:val="en-US" w:eastAsia="zh-CN"/>
              </w:rPr>
              <w:t>2.根据拟投入设备情况在0-5分范围内进行打分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501"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505"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496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501"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505"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960" w:type="dxa"/>
            <w:vAlign w:val="center"/>
          </w:tcPr>
          <w:p>
            <w:pPr>
              <w:pStyle w:val="16"/>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根据响应速度在</w:t>
            </w:r>
            <w:r>
              <w:rPr>
                <w:rFonts w:hint="eastAsia" w:ascii="宋体" w:hAnsi="宋体" w:eastAsia="宋体" w:cs="宋体"/>
                <w:color w:val="000000" w:themeColor="text1"/>
                <w:sz w:val="21"/>
                <w:szCs w:val="21"/>
                <w:lang w:val="en-US" w:eastAsia="zh-CN"/>
                <w14:textFill>
                  <w14:solidFill>
                    <w14:schemeClr w14:val="tx1"/>
                  </w14:solidFill>
                </w14:textFill>
              </w:rPr>
              <w:t>1-3分范围内进行打分，送货时间最短的得满分3分。</w:t>
            </w:r>
          </w:p>
          <w:p>
            <w:pPr>
              <w:pStyle w:val="16"/>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6"/>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pStyle w:val="2"/>
        <w:rPr>
          <w:rFonts w:hint="eastAsia" w:ascii="黑体" w:hAnsi="黑体" w:eastAsia="黑体" w:cs="黑体"/>
          <w:sz w:val="32"/>
          <w:szCs w:val="32"/>
          <w:lang w:eastAsia="zh-CN"/>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0"/>
        <w:jc w:val="center"/>
        <w:rPr>
          <w:rFonts w:hint="eastAsia" w:ascii="黑体" w:hAnsi="黑体" w:eastAsia="黑体" w:cs="黑体"/>
          <w:sz w:val="36"/>
          <w:szCs w:val="36"/>
          <w:u w:val="none"/>
          <w:lang w:eastAsia="zh-CN"/>
        </w:rPr>
      </w:pPr>
      <w:r>
        <w:rPr>
          <w:rFonts w:hint="eastAsia" w:ascii="黑体" w:hAnsi="黑体" w:eastAsia="黑体" w:cs="黑体"/>
          <w:sz w:val="36"/>
          <w:szCs w:val="36"/>
          <w:lang w:eastAsia="zh-CN"/>
        </w:rPr>
        <w:t>新郑市公立人民医院</w:t>
      </w:r>
      <w:r>
        <w:rPr>
          <w:rFonts w:hint="eastAsia" w:ascii="黑体" w:hAnsi="黑体" w:eastAsia="黑体" w:cs="黑体"/>
          <w:sz w:val="36"/>
          <w:szCs w:val="36"/>
          <w:lang w:val="en-US" w:eastAsia="zh-CN"/>
        </w:rPr>
        <w:t xml:space="preserve"> 手术器械</w:t>
      </w:r>
      <w:r>
        <w:rPr>
          <w:rFonts w:hint="eastAsia" w:ascii="黑体" w:hAnsi="黑体" w:eastAsia="黑体" w:cs="黑体"/>
          <w:sz w:val="36"/>
          <w:szCs w:val="36"/>
          <w:u w:val="none"/>
          <w:lang w:eastAsia="zh-CN"/>
        </w:rPr>
        <w:t>购销合同</w:t>
      </w:r>
    </w:p>
    <w:p>
      <w:pPr>
        <w:keepNext w:val="0"/>
        <w:keepLines w:val="0"/>
        <w:pageBreakBefore w:val="0"/>
        <w:kinsoku/>
        <w:wordWrap/>
        <w:overflowPunct/>
        <w:topLinePunct w:val="0"/>
        <w:autoSpaceDE/>
        <w:autoSpaceDN/>
        <w:bidi w:val="0"/>
        <w:adjustRightInd/>
        <w:spacing w:beforeAutospacing="0" w:afterAutospacing="0" w:line="324" w:lineRule="auto"/>
        <w:ind w:left="5783" w:right="0" w:rightChars="0" w:hanging="5783" w:hangingChars="240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采购方：（甲方）：新郑市公立人民医院</w:t>
      </w:r>
      <w:r>
        <w:rPr>
          <w:rFonts w:hint="eastAsia" w:ascii="新宋体" w:hAnsi="新宋体" w:eastAsia="新宋体" w:cs="新宋体"/>
          <w:b/>
          <w:sz w:val="24"/>
          <w:lang w:val="en-US" w:eastAsia="zh-CN"/>
        </w:rPr>
        <w:t xml:space="preserve">    供货方：（乙方）：</w:t>
      </w:r>
    </w:p>
    <w:p>
      <w:pPr>
        <w:keepNext w:val="0"/>
        <w:keepLines w:val="0"/>
        <w:pageBreakBefore w:val="0"/>
        <w:kinsoku/>
        <w:wordWrap/>
        <w:overflowPunct/>
        <w:topLinePunct w:val="0"/>
        <w:autoSpaceDE/>
        <w:autoSpaceDN/>
        <w:bidi w:val="0"/>
        <w:adjustRightInd/>
        <w:spacing w:beforeAutospacing="0" w:afterAutospacing="0" w:line="324" w:lineRule="auto"/>
        <w:ind w:left="5060" w:right="0" w:rightChars="0" w:hanging="5060" w:hangingChars="2100"/>
        <w:textAlignment w:val="auto"/>
        <w:rPr>
          <w:rFonts w:hint="default" w:ascii="新宋体" w:hAnsi="新宋体" w:eastAsia="新宋体" w:cs="新宋体"/>
          <w:b/>
          <w:sz w:val="24"/>
          <w:lang w:val="en-US" w:eastAsia="zh-CN"/>
        </w:rPr>
      </w:pPr>
      <w:r>
        <w:rPr>
          <w:rFonts w:hint="eastAsia" w:ascii="新宋体" w:hAnsi="新宋体" w:eastAsia="新宋体" w:cs="新宋体"/>
          <w:b/>
          <w:sz w:val="24"/>
          <w:lang w:eastAsia="zh-CN"/>
        </w:rPr>
        <w:t>地址：</w:t>
      </w:r>
      <w:r>
        <w:rPr>
          <w:rFonts w:hint="eastAsia" w:ascii="新宋体" w:hAnsi="新宋体" w:eastAsia="新宋体" w:cs="新宋体"/>
          <w:b/>
          <w:sz w:val="24"/>
          <w:lang w:val="en-US" w:eastAsia="zh-CN"/>
        </w:rPr>
        <w:t>河南省新郑市中华南路              地址：</w:t>
      </w: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val="en-US" w:eastAsia="zh-CN"/>
        </w:rPr>
        <w:t>联系电话：0371-69952699                 联系电话：</w:t>
      </w:r>
      <w:r>
        <w:rPr>
          <w:rFonts w:hint="eastAsia" w:ascii="新宋体" w:hAnsi="新宋体" w:cs="新宋体"/>
          <w:b/>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根据《中华人民共和国民法典》以及相关法律法规的规定，经甲、乙双方协商，就甲方采购乙方手术器械事宜，双方自愿签订如下合同。</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第一条</w:t>
      </w:r>
      <w:r>
        <w:rPr>
          <w:rFonts w:hint="eastAsia" w:ascii="新宋体" w:hAnsi="新宋体" w:eastAsia="新宋体" w:cs="新宋体"/>
          <w:sz w:val="24"/>
          <w:lang w:val="en-US" w:eastAsia="zh-CN"/>
        </w:rPr>
        <w:t xml:space="preserve"> 器械的名称、规格、单价、数量等详见明细表（清单详见附件），明细表是本合同的一部分。乙方应随货免费提供器械的技术文件。</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第二条 技术标准</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在符合国家相关技术标准的基础上，甲、乙双方根据合同约定进行技术验收，乙方保证所提供货物为原厂原包装合格正品，器械型号和配置与中标文件相符，具有国家食品监督管理局颁发的医疗器械产品注册证。</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第三条 供货时间及地点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交付时间：合同签订后30个工作日之内乙方向甲方交付器械。</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交付地点：新郑市公立人民医院指定地点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乙方送货并承担运费、保险费、税费等，货物交付甲方转移所有权。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第四条 验收标准及方式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共同对器械进行验收，如果发现乙方所提供货物不是原厂原装合格正品、器械型号和配置与招标文件不相符、数量不足或有质量、技术等问题，乙方应在七日内，按照甲方的要求，采取补足、更换或退货等处理措施，并承担由此发生的一切损失和费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第五条 货款及支付方式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1、合同总价为人民币：大写：贰万贰仟伍佰元整（小写：22500元）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2、合同签订后，器械到货验收合格并正常使用6个月内支付设备总货款的95%，一年后支付剩余5%货款。</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3、付款方式：转账或银行承兑均可</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第六条 售后服务及质量保证</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1、甲方收到货物后应对器械进行验收，乙方对货物实行三包（包修、包换、包退）。</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2、器械运至甲方指定地点，乙方应指派工程师对甲方医生和相关操作人员进行器械操作和清洗消毒的免费培训，直至甲方操作人员能熟练操作为止，乙方承担培训的薪资、差旅等全部费用。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器械质保期为1年，自器械试验收合格之日起算。自验收合格日起三个月内出现非人为原因造成的故障需无条件调换。保修期间提供一切免费维修服务（含零配件更换），保修期满后提供终身维修（仅支付维修成本费用），对器械进行免费打磨。</w:t>
      </w:r>
    </w:p>
    <w:p>
      <w:pPr>
        <w:pStyle w:val="2"/>
        <w:rPr>
          <w:rFonts w:hint="default"/>
          <w:lang w:val="en-US" w:eastAsia="zh-CN"/>
        </w:rPr>
      </w:pPr>
      <w:r>
        <w:rPr>
          <w:rFonts w:hint="eastAsia" w:ascii="新宋体" w:hAnsi="新宋体" w:eastAsia="新宋体" w:cs="新宋体"/>
          <w:sz w:val="24"/>
          <w:lang w:val="en-US" w:eastAsia="zh-CN"/>
        </w:rPr>
        <w:t xml:space="preserve">    4、提供24小时响应服务，接到报修请求，维修在24小时内响应,维修期间提供备用器械，不影响临床使用。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第七条 违约责任</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1、乙方必须保证产品为原厂原装正品，如果出现翻新或以次充好情况，甲方有权要求总货款的双倍赔付损失。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2、乙方如果不能按时提供甲方所需的器械，由此影响了甲方正常工作，甲方有权终止合同，如果甲方要求乙方继续供货，乙方从合同约定交货之日起按每日总货款的2%赔付，直至货到之日为止。</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default"/>
          <w:lang w:val="en-US" w:eastAsia="zh-CN"/>
        </w:rPr>
      </w:pPr>
      <w:r>
        <w:rPr>
          <w:rFonts w:hint="eastAsia" w:ascii="新宋体" w:hAnsi="新宋体" w:eastAsia="新宋体" w:cs="新宋体"/>
          <w:sz w:val="24"/>
          <w:lang w:val="en-US" w:eastAsia="zh-CN"/>
        </w:rPr>
        <w:t>3、如乙方违反质量条款交付产品，应在接甲方通知七日内更换合同产品，否则每逾期一日承担合同总额的1%违约金。</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第八条 不可抗力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甲、乙任何一方由于不可抗力原因不能履行合同同时，应及时向对方通报不能履行或不能完全履行的理由，以减轻可能给对方造成的损失。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第九条 争议解决方法</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甲、乙双方因履行本合同发生争议时，应友好协商；如协商未果，可向甲方所在地人民法院提出诉讼。</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第十条 其它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合同附件及形成本项目的招标文件、投标文件、《成交通知书》均为本合同不可分割的组成部分，与本合同具有同等的法律效力。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本合同一式伍份，甲方执肆份，乙方执壹份，自双方签约代表签字、盖章之日起生效。</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48" w:leftChars="456" w:right="0" w:rightChars="0" w:hanging="590" w:hangingChars="246"/>
        <w:textAlignment w:val="auto"/>
        <w:rPr>
          <w:rFonts w:hint="eastAsia" w:ascii="新宋体" w:hAnsi="新宋体" w:eastAsia="新宋体" w:cs="新宋体"/>
          <w:sz w:val="24"/>
          <w:lang w:eastAsia="zh-CN"/>
        </w:rPr>
      </w:pPr>
      <w:r>
        <w:rPr>
          <w:rFonts w:hint="eastAsia" w:ascii="新宋体" w:hAnsi="新宋体" w:eastAsia="新宋体" w:cs="新宋体"/>
          <w:sz w:val="24"/>
        </w:rPr>
        <w:t xml:space="preserve">甲方（盖章）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乙方（盖章）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lang w:eastAsia="zh-CN"/>
        </w:rPr>
      </w:pP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rPr>
      </w:pP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u w:val="single"/>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年</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月</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 xml:space="preserve">日     </w:t>
      </w:r>
      <w:r>
        <w:rPr>
          <w:rFonts w:hint="eastAsia" w:ascii="新宋体" w:hAnsi="新宋体" w:cs="新宋体"/>
          <w:sz w:val="24"/>
          <w:lang w:val="en-US" w:eastAsia="zh-CN"/>
        </w:rPr>
        <w:t xml:space="preserve">                   </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日 </w:t>
      </w:r>
    </w:p>
    <w:p>
      <w:pPr>
        <w:rPr>
          <w:rFonts w:ascii="黑体" w:hAnsi="黑体" w:eastAsia="黑体" w:cs="黑体"/>
          <w:sz w:val="32"/>
          <w:szCs w:val="32"/>
        </w:rPr>
      </w:pPr>
      <w:bookmarkStart w:id="15" w:name="_GoBack"/>
      <w:bookmarkEnd w:id="15"/>
      <w:r>
        <w:rPr>
          <w:rFonts w:hint="eastAsia" w:ascii="黑体" w:hAnsi="黑体" w:eastAsia="黑体" w:cs="黑体"/>
          <w:sz w:val="32"/>
          <w:szCs w:val="32"/>
        </w:rPr>
        <w:t>备注：合同具体条款以当事人约定为准。</w:t>
      </w:r>
    </w:p>
    <w:p>
      <w:pPr>
        <w:pStyle w:val="2"/>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4"/>
        <w:tblW w:w="957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格式自拟（需包含所报工程单价、总价）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10762"/>
      <w:bookmarkStart w:id="1" w:name="_Toc258333636"/>
      <w:bookmarkStart w:id="2" w:name="_Toc320878640"/>
      <w:bookmarkStart w:id="3" w:name="_Toc304219257"/>
      <w:bookmarkStart w:id="4" w:name="_Toc17030"/>
      <w:bookmarkStart w:id="5" w:name="_Toc15313"/>
      <w:bookmarkStart w:id="6" w:name="_Toc258354146"/>
      <w:bookmarkStart w:id="7" w:name="_Toc337554724"/>
      <w:bookmarkStart w:id="8" w:name="_Toc337475854"/>
      <w:bookmarkStart w:id="9" w:name="_Toc258360158"/>
      <w:bookmarkStart w:id="10" w:name="_Toc9548"/>
      <w:bookmarkStart w:id="11" w:name="_Toc248896063"/>
      <w:bookmarkStart w:id="12" w:name="_Toc261708863"/>
      <w:bookmarkStart w:id="13" w:name="_Toc258360269"/>
      <w:bookmarkStart w:id="14" w:name="_Toc21962674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45330"/>
    <w:rsid w:val="00CE1A27"/>
    <w:rsid w:val="00D47DAF"/>
    <w:rsid w:val="03C05FE9"/>
    <w:rsid w:val="041C0681"/>
    <w:rsid w:val="045C4934"/>
    <w:rsid w:val="06AB0CBE"/>
    <w:rsid w:val="07115D57"/>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45F44FD"/>
    <w:rsid w:val="246624B2"/>
    <w:rsid w:val="24DF7354"/>
    <w:rsid w:val="24FE3AD7"/>
    <w:rsid w:val="25E13CF1"/>
    <w:rsid w:val="2643733F"/>
    <w:rsid w:val="264A511E"/>
    <w:rsid w:val="278100C0"/>
    <w:rsid w:val="281A4847"/>
    <w:rsid w:val="288B4898"/>
    <w:rsid w:val="28AE7436"/>
    <w:rsid w:val="2A7E0BB7"/>
    <w:rsid w:val="2A826BC7"/>
    <w:rsid w:val="2B0A7B44"/>
    <w:rsid w:val="2ED21247"/>
    <w:rsid w:val="2F632DBF"/>
    <w:rsid w:val="30217C48"/>
    <w:rsid w:val="311B0235"/>
    <w:rsid w:val="31384F13"/>
    <w:rsid w:val="31827FC3"/>
    <w:rsid w:val="32367AE2"/>
    <w:rsid w:val="33F956F6"/>
    <w:rsid w:val="35235DD9"/>
    <w:rsid w:val="355D343E"/>
    <w:rsid w:val="35803DCD"/>
    <w:rsid w:val="359022EB"/>
    <w:rsid w:val="384A7AD5"/>
    <w:rsid w:val="3A3A4AA9"/>
    <w:rsid w:val="3AD243FA"/>
    <w:rsid w:val="3B2A4846"/>
    <w:rsid w:val="3B5373B6"/>
    <w:rsid w:val="3B677688"/>
    <w:rsid w:val="3C8F1C55"/>
    <w:rsid w:val="3CCF593D"/>
    <w:rsid w:val="3DA0606C"/>
    <w:rsid w:val="3DEC493C"/>
    <w:rsid w:val="3EC01209"/>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9C1C97"/>
    <w:rsid w:val="4BC500AA"/>
    <w:rsid w:val="4C1C5AD5"/>
    <w:rsid w:val="4FCE5CD6"/>
    <w:rsid w:val="503F3FE4"/>
    <w:rsid w:val="514F77D3"/>
    <w:rsid w:val="533D08A8"/>
    <w:rsid w:val="53501B3C"/>
    <w:rsid w:val="53EC32EF"/>
    <w:rsid w:val="550B217C"/>
    <w:rsid w:val="55803735"/>
    <w:rsid w:val="563E288F"/>
    <w:rsid w:val="57162389"/>
    <w:rsid w:val="57575861"/>
    <w:rsid w:val="5AD50E25"/>
    <w:rsid w:val="5C0B1608"/>
    <w:rsid w:val="5CEA2A63"/>
    <w:rsid w:val="5D327E39"/>
    <w:rsid w:val="5D4D3632"/>
    <w:rsid w:val="5ED90E8F"/>
    <w:rsid w:val="60247155"/>
    <w:rsid w:val="603040BB"/>
    <w:rsid w:val="615523A0"/>
    <w:rsid w:val="61A05A1B"/>
    <w:rsid w:val="649D2897"/>
    <w:rsid w:val="64BF3E0B"/>
    <w:rsid w:val="64E26821"/>
    <w:rsid w:val="65207F71"/>
    <w:rsid w:val="66016CC0"/>
    <w:rsid w:val="67C71CC5"/>
    <w:rsid w:val="695C7637"/>
    <w:rsid w:val="6A3805EE"/>
    <w:rsid w:val="6A67750E"/>
    <w:rsid w:val="6BDA23AB"/>
    <w:rsid w:val="6CD8518D"/>
    <w:rsid w:val="6ECA7999"/>
    <w:rsid w:val="6F7B0CA4"/>
    <w:rsid w:val="6F8E4227"/>
    <w:rsid w:val="70201765"/>
    <w:rsid w:val="70E04A7D"/>
    <w:rsid w:val="70F03E6A"/>
    <w:rsid w:val="71B367CA"/>
    <w:rsid w:val="72AF20B0"/>
    <w:rsid w:val="745F5922"/>
    <w:rsid w:val="75441CAA"/>
    <w:rsid w:val="77F35741"/>
    <w:rsid w:val="78481C82"/>
    <w:rsid w:val="78BC0632"/>
    <w:rsid w:val="78BE0AF1"/>
    <w:rsid w:val="792701E6"/>
    <w:rsid w:val="798E357B"/>
    <w:rsid w:val="79D27142"/>
    <w:rsid w:val="7A8647EE"/>
    <w:rsid w:val="7AFC68A2"/>
    <w:rsid w:val="7B655EDF"/>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0">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11">
    <w:name w:val="FollowedHyperlink"/>
    <w:basedOn w:val="10"/>
    <w:qFormat/>
    <w:uiPriority w:val="0"/>
    <w:rPr>
      <w:color w:val="444444"/>
      <w:sz w:val="21"/>
      <w:szCs w:val="21"/>
      <w:u w:val="none"/>
    </w:rPr>
  </w:style>
  <w:style w:type="character" w:styleId="12">
    <w:name w:val="Hyperlink"/>
    <w:basedOn w:val="10"/>
    <w:semiHidden/>
    <w:unhideWhenUsed/>
    <w:qFormat/>
    <w:uiPriority w:val="99"/>
    <w:rPr>
      <w:rFonts w:ascii="微软雅黑" w:hAnsi="微软雅黑" w:eastAsia="微软雅黑" w:cs="微软雅黑"/>
      <w:color w:val="02396F"/>
      <w:u w:val="single"/>
    </w:rPr>
  </w:style>
  <w:style w:type="character" w:styleId="13">
    <w:name w:val="annotation reference"/>
    <w:basedOn w:val="10"/>
    <w:qFormat/>
    <w:uiPriority w:val="0"/>
    <w:rPr>
      <w:sz w:val="21"/>
      <w:szCs w:val="21"/>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0"/>
    <w:link w:val="7"/>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0"/>
    <w:qFormat/>
    <w:uiPriority w:val="0"/>
  </w:style>
  <w:style w:type="paragraph" w:customStyle="1" w:styleId="20">
    <w:name w:val="无间隔1"/>
    <w:basedOn w:val="1"/>
    <w:qFormat/>
    <w:uiPriority w:val="1"/>
    <w:pPr>
      <w:spacing w:line="400" w:lineRule="exact"/>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2</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2021-07-22T02:42:00Z</cp:lastPrinted>
  <dcterms:modified xsi:type="dcterms:W3CDTF">2022-02-23T14:20:57Z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493DB46D37854FBB97BA6C655364FCA7</vt:lpwstr>
  </property>
</Properties>
</file>