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PCR核酸扩增仪</w:t>
      </w: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2022年1月3日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PCR核酸扩增仪采购项目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PCR核酸扩增仪采购项目</w:t>
      </w:r>
      <w:r>
        <w:rPr>
          <w:rFonts w:hint="eastAsia" w:ascii="仿宋_GB2312" w:eastAsia="仿宋_GB2312"/>
          <w:sz w:val="32"/>
          <w:szCs w:val="32"/>
        </w:rPr>
        <w:t>。</w:t>
      </w:r>
    </w:p>
    <w:p>
      <w:pPr>
        <w:numPr>
          <w:ilvl w:val="0"/>
          <w:numId w:val="3"/>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参数</w:t>
      </w:r>
    </w:p>
    <w:tbl>
      <w:tblPr>
        <w:tblStyle w:val="11"/>
        <w:tblW w:w="9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6"/>
        <w:gridCol w:w="2475"/>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247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年度计划序号</w:t>
            </w:r>
          </w:p>
        </w:tc>
        <w:tc>
          <w:tcPr>
            <w:tcW w:w="24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ascii="仿宋_GB2312" w:hAnsi="宋体" w:eastAsia="仿宋_GB2312"/>
                <w:b/>
                <w:bCs/>
                <w:color w:val="FF0000"/>
                <w:u w:val="single"/>
              </w:rPr>
            </w:pPr>
          </w:p>
        </w:tc>
        <w:tc>
          <w:tcPr>
            <w:tcW w:w="247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Cs/>
              </w:rPr>
            </w:pPr>
            <w:r>
              <w:rPr>
                <w:rFonts w:hint="eastAsia" w:ascii="仿宋_GB2312" w:hAnsi="宋体" w:eastAsia="仿宋_GB2312"/>
                <w:bCs/>
              </w:rPr>
              <w:t>实时荧光定量pcr仪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247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24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b/>
                <w:bCs/>
                <w:color w:val="FF0000"/>
                <w:u w:val="single"/>
                <w:lang w:eastAsia="zh-CN"/>
              </w:rPr>
            </w:pPr>
            <w:r>
              <w:rPr>
                <w:rFonts w:hint="eastAsia" w:ascii="仿宋_GB2312" w:hAnsi="宋体" w:eastAsia="仿宋_GB2312"/>
                <w:b/>
                <w:bCs/>
                <w:color w:val="FF0000"/>
                <w:u w:val="single"/>
                <w:lang w:eastAsia="zh-CN"/>
              </w:rPr>
              <w:t>国产</w:t>
            </w:r>
          </w:p>
        </w:tc>
        <w:tc>
          <w:tcPr>
            <w:tcW w:w="247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rPr>
            </w:pPr>
            <w:r>
              <w:rPr>
                <w:rFonts w:hint="eastAsia" w:ascii="仿宋_GB2312" w:hAnsi="宋体" w:eastAsia="仿宋_GB2312"/>
                <w:b/>
                <w:bCs/>
                <w:color w:val="FF0000"/>
                <w:lang w:val="en-US" w:eastAsia="zh-CN"/>
              </w:rPr>
              <w:t>1</w:t>
            </w:r>
            <w:r>
              <w:rPr>
                <w:rFonts w:hint="eastAsia" w:ascii="仿宋_GB2312" w:hAnsi="宋体" w:eastAsia="仿宋_GB2312"/>
                <w:b/>
                <w:bCs/>
                <w:color w:val="FF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仿宋_GB2312" w:hAnsi="宋体" w:eastAsia="仿宋_GB2312"/>
                <w:b/>
                <w:bCs/>
                <w:lang w:val="en-US" w:eastAsia="zh-CN"/>
              </w:rPr>
            </w:pPr>
            <w:r>
              <w:rPr>
                <w:rFonts w:hint="eastAsia" w:ascii="仿宋_GB2312" w:hAnsi="宋体" w:eastAsia="仿宋_GB2312"/>
                <w:b/>
                <w:bCs/>
              </w:rPr>
              <w:t>是否与医院现有设备配套使用（配套使用设备品牌及型号）：</w:t>
            </w:r>
            <w:r>
              <w:rPr>
                <w:rFonts w:hint="eastAsia" w:ascii="仿宋_GB2312" w:hAnsi="宋体" w:eastAsia="仿宋_GB2312"/>
                <w:bCs/>
              </w:rPr>
              <w:t>与基因扩增实验室现有设备配套使用</w:t>
            </w:r>
            <w:r>
              <w:rPr>
                <w:rFonts w:hint="eastAsia" w:ascii="仿宋_GB2312" w:hAnsi="宋体" w:eastAsia="仿宋_GB2312"/>
                <w:bCs/>
                <w:lang w:eastAsia="zh-CN"/>
              </w:rPr>
              <w:t>，连接医院</w:t>
            </w:r>
            <w:r>
              <w:rPr>
                <w:rFonts w:hint="eastAsia" w:ascii="仿宋_GB2312" w:hAnsi="宋体" w:eastAsia="仿宋_GB2312"/>
                <w:bCs/>
                <w:lang w:val="en-US" w:eastAsia="zh-CN"/>
              </w:rPr>
              <w:t>HIS系统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r>
              <w:rPr>
                <w:rFonts w:hint="eastAsia" w:ascii="仿宋_GB2312" w:hAnsi="宋体" w:eastAsia="仿宋_GB2312"/>
                <w:bCs/>
              </w:rPr>
              <w:t>病原体核酸扩增检测、转基因检测；可实现绝对定量和相对定量,适于基因表达分析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sz w:val="24"/>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仿宋_GB2312" w:hAnsi="宋体" w:eastAsia="宋体" w:cs="Times New Roman"/>
                <w:bCs/>
                <w:lang w:val="en-US" w:eastAsia="zh-CN"/>
              </w:rPr>
            </w:pPr>
            <w:r>
              <w:rPr>
                <w:rFonts w:hint="eastAsia" w:ascii="宋体" w:hAnsi="宋体" w:cs="宋体"/>
                <w:kern w:val="0"/>
                <w:szCs w:val="21"/>
              </w:rPr>
              <w:t>1、样本容量：</w:t>
            </w:r>
            <w:r>
              <w:rPr>
                <w:rFonts w:hint="eastAsia" w:ascii="宋体" w:hAnsi="宋体" w:cs="宋体"/>
                <w:kern w:val="0"/>
                <w:szCs w:val="21"/>
                <w:lang w:eastAsia="zh-CN"/>
              </w:rPr>
              <w:t>≥</w:t>
            </w:r>
            <w:r>
              <w:rPr>
                <w:rFonts w:hint="eastAsia" w:ascii="宋体" w:hAnsi="宋体" w:cs="宋体"/>
                <w:kern w:val="0"/>
                <w:szCs w:val="21"/>
              </w:rPr>
              <w:t>96孔；</w:t>
            </w:r>
            <w:r>
              <w:rPr>
                <w:rFonts w:hint="eastAsia" w:ascii="宋体" w:hAnsi="宋体" w:cs="宋体"/>
                <w:kern w:val="0"/>
                <w:szCs w:val="21"/>
                <w:lang w:eastAsia="zh-CN"/>
              </w:rPr>
              <w:t>双模块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仿宋_GB2312" w:hAnsi="宋体" w:eastAsia="仿宋_GB2312" w:cs="Times New Roman"/>
                <w:bCs/>
                <w:lang w:val="en-US" w:eastAsia="zh-CN"/>
              </w:rPr>
            </w:pPr>
            <w:r>
              <w:rPr>
                <w:rFonts w:hint="eastAsia" w:ascii="宋体" w:hAnsi="宋体" w:cs="宋体"/>
                <w:kern w:val="0"/>
                <w:szCs w:val="21"/>
              </w:rPr>
              <w:t>2、光 源：超高亮度LED；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3、检测器：高灵敏度光电传感器；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4、检测动力学范围：10</w:t>
            </w:r>
            <w:r>
              <w:rPr>
                <w:rFonts w:hint="eastAsia" w:ascii="宋体" w:hAnsi="宋体" w:cs="宋体"/>
                <w:kern w:val="0"/>
                <w:szCs w:val="21"/>
                <w:vertAlign w:val="superscript"/>
              </w:rPr>
              <w:t>0</w:t>
            </w:r>
            <w:r>
              <w:rPr>
                <w:rFonts w:hint="eastAsia" w:ascii="宋体" w:hAnsi="宋体" w:cs="宋体"/>
                <w:kern w:val="0"/>
                <w:szCs w:val="21"/>
              </w:rPr>
              <w:t>-10</w:t>
            </w:r>
            <w:r>
              <w:rPr>
                <w:rFonts w:hint="eastAsia" w:ascii="宋体" w:hAnsi="宋体" w:cs="宋体"/>
                <w:kern w:val="0"/>
                <w:szCs w:val="21"/>
                <w:vertAlign w:val="superscript"/>
              </w:rPr>
              <w:t>10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5、最小检测模板：单个拷贝；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6、反应容积：15ul-100ul；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★7、</w:t>
            </w:r>
            <w:r>
              <w:rPr>
                <w:rFonts w:hint="eastAsia"/>
                <w:szCs w:val="21"/>
              </w:rPr>
              <w:t>荧光激发波长与荧光检测波长：激发波长4</w:t>
            </w:r>
            <w:r>
              <w:rPr>
                <w:szCs w:val="21"/>
              </w:rPr>
              <w:t>70</w:t>
            </w:r>
            <w:r>
              <w:rPr>
                <w:rFonts w:hint="eastAsia"/>
                <w:szCs w:val="21"/>
              </w:rPr>
              <w:t>-6</w:t>
            </w:r>
            <w:r>
              <w:rPr>
                <w:szCs w:val="21"/>
              </w:rPr>
              <w:t>30</w:t>
            </w:r>
            <w:r>
              <w:rPr>
                <w:rFonts w:hint="eastAsia"/>
                <w:szCs w:val="21"/>
              </w:rPr>
              <w:t>nm；检测波长5</w:t>
            </w:r>
            <w:r>
              <w:rPr>
                <w:szCs w:val="21"/>
              </w:rPr>
              <w:t>10</w:t>
            </w:r>
            <w:r>
              <w:rPr>
                <w:rFonts w:hint="eastAsia"/>
                <w:szCs w:val="21"/>
              </w:rPr>
              <w:t>-</w:t>
            </w:r>
            <w:r>
              <w:rPr>
                <w:szCs w:val="21"/>
              </w:rPr>
              <w:t>665</w:t>
            </w:r>
            <w:r>
              <w:rPr>
                <w:rFonts w:hint="eastAsia"/>
                <w:szCs w:val="21"/>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★8、检测的荧光素及染料： FAM、SYBR、VIC、HEX、JOE、TET、CY3、ROX、CY5；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9、多重荧光检测：4重荧光检测，无需交叉干扰校正；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10、控温模式：</w:t>
            </w:r>
            <w:r>
              <w:rPr>
                <w:rFonts w:hint="eastAsia"/>
                <w:szCs w:val="21"/>
              </w:rPr>
              <w:t>模块控温、试管控温</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11、温度准确性：±0.1℃；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12、温度均匀性：±0.1℃；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★13、控温范围：4℃-99℃；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14、最大升降温速率：4.5℃/s；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15、热盖：电子自动热盖；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16、操作系统：WindowsXP/VISTA/Windows7等；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★17、仪器配套耗材需可以使用96孔PCR反应板；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宋体" w:hAnsi="宋体" w:cs="宋体"/>
                <w:kern w:val="0"/>
                <w:szCs w:val="21"/>
              </w:rPr>
            </w:pPr>
            <w:r>
              <w:rPr>
                <w:rFonts w:hint="eastAsia" w:ascii="宋体" w:hAnsi="宋体" w:cs="宋体"/>
                <w:kern w:val="0"/>
                <w:szCs w:val="21"/>
              </w:rPr>
              <w:t>★18、软件：配置MMCA检测结果判读软件，仪器自动输出检测结果，直接导出实验结论；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仿宋_GB2312" w:hAnsi="宋体" w:eastAsia="仿宋_GB2312" w:cs="Times New Roman"/>
                <w:bCs/>
                <w:lang w:val="en-US" w:eastAsia="zh-CN"/>
              </w:rPr>
            </w:pPr>
            <w:r>
              <w:rPr>
                <w:rFonts w:hint="eastAsia" w:ascii="宋体" w:hAnsi="宋体" w:cs="宋体"/>
                <w:kern w:val="0"/>
                <w:szCs w:val="21"/>
              </w:rPr>
              <w:t>19、在熔解曲线检测分析中，能自动识别熔解峰的温度及峰高，能自动识别重叠峰。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cs="Times New Roman"/>
                <w:bCs/>
                <w:lang w:val="en-US" w:eastAsia="zh-CN"/>
              </w:rPr>
            </w:pPr>
            <w:r>
              <w:rPr>
                <w:rFonts w:hint="eastAsia" w:ascii="仿宋_GB2312" w:hAnsi="宋体" w:eastAsia="仿宋_GB2312" w:cs="Times New Roman"/>
                <w:bCs/>
                <w:lang w:val="en-US" w:eastAsia="zh-CN"/>
              </w:rPr>
              <w:t>20.软件可以直接将结果导出至xlsx、csv、txt格式文件。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cs="Times New Roman"/>
                <w:bCs/>
                <w:lang w:val="en-US" w:eastAsia="zh-CN"/>
              </w:rPr>
            </w:pPr>
            <w:r>
              <w:rPr>
                <w:rFonts w:hint="eastAsia" w:ascii="仿宋_GB2312" w:hAnsi="宋体" w:eastAsia="仿宋_GB2312" w:cs="Times New Roman"/>
                <w:bCs/>
                <w:lang w:val="en-US" w:eastAsia="zh-CN"/>
              </w:rPr>
              <w:t>21.配套电脑：原装品牌电脑，商用台式机。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仿宋_GB2312" w:hAnsi="宋体" w:eastAsia="仿宋_GB2312" w:cs="Times New Roman"/>
                <w:bCs/>
                <w:lang w:val="en-US" w:eastAsia="zh-CN"/>
              </w:rPr>
            </w:pPr>
            <w:r>
              <w:rPr>
                <w:rFonts w:hint="eastAsia" w:ascii="仿宋_GB2312" w:hAnsi="宋体" w:eastAsia="仿宋_GB2312" w:cs="Times New Roman"/>
                <w:bCs/>
                <w:lang w:val="en-US" w:eastAsia="zh-CN"/>
              </w:rPr>
              <w:t>22.免费提供每年1次设备检验校准报告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22.</w:t>
            </w:r>
            <w:r>
              <w:rPr>
                <w:rFonts w:hint="eastAsia" w:ascii="仿宋_GB2312" w:hAnsi="宋体" w:eastAsia="仿宋_GB2312"/>
                <w:bCs/>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22.1</w:t>
            </w:r>
            <w:r>
              <w:rPr>
                <w:rFonts w:hint="eastAsia" w:ascii="仿宋_GB2312" w:hAnsi="宋体" w:eastAsia="仿宋_GB2312"/>
                <w:bCs/>
              </w:rPr>
              <w:t>维修响应速度：一小时内做出维修方案决定；如2小时内无法通过电话解决问题，维修人员必须在接到故障报告后24小时内到达医院，不管是否节假日；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22.</w:t>
            </w:r>
            <w:r>
              <w:rPr>
                <w:rFonts w:hint="eastAsia" w:ascii="仿宋_GB2312" w:hAnsi="宋体" w:eastAsia="仿宋_GB2312"/>
                <w:bCs/>
              </w:rPr>
              <w:t>2保修期内的开机率：投标方保证开机率9</w:t>
            </w:r>
            <w:r>
              <w:rPr>
                <w:rFonts w:hint="eastAsia" w:ascii="仿宋_GB2312" w:hAnsi="宋体" w:eastAsia="仿宋_GB2312"/>
                <w:bCs/>
                <w:lang w:val="en-US" w:eastAsia="zh-CN"/>
              </w:rPr>
              <w:t>8</w:t>
            </w:r>
            <w:r>
              <w:rPr>
                <w:rFonts w:hint="eastAsia" w:ascii="仿宋_GB2312" w:hAnsi="宋体" w:eastAsia="仿宋_GB2312"/>
                <w:bCs/>
              </w:rPr>
              <w:t>%（按一年365天计算）；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22.3</w:t>
            </w:r>
            <w:r>
              <w:rPr>
                <w:rFonts w:hint="eastAsia" w:ascii="仿宋_GB2312" w:hAnsi="宋体" w:eastAsia="仿宋_GB2312"/>
                <w:bCs/>
              </w:rPr>
              <w:t>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22.4</w:t>
            </w:r>
            <w:r>
              <w:rPr>
                <w:rFonts w:hint="eastAsia" w:ascii="仿宋_GB2312" w:hAnsi="宋体" w:eastAsia="仿宋_GB2312"/>
                <w:bCs/>
              </w:rPr>
              <w:t>设备免费原厂保修期</w:t>
            </w:r>
            <w:r>
              <w:rPr>
                <w:rFonts w:hint="eastAsia" w:ascii="仿宋_GB2312" w:hAnsi="宋体" w:eastAsia="仿宋_GB2312"/>
                <w:bCs/>
                <w:lang w:val="en-US" w:eastAsia="zh-CN"/>
              </w:rPr>
              <w:t>3</w:t>
            </w:r>
            <w:r>
              <w:rPr>
                <w:rFonts w:hint="eastAsia" w:ascii="仿宋_GB2312" w:hAnsi="宋体" w:eastAsia="仿宋_GB2312"/>
                <w:bCs/>
              </w:rPr>
              <w:t>年；质保期过后厂家免费维修，不换配件不收费。每半年免费保养一次。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22.5</w:t>
            </w:r>
            <w:r>
              <w:rPr>
                <w:rFonts w:hint="eastAsia" w:ascii="仿宋_GB2312" w:hAnsi="宋体" w:eastAsia="仿宋_GB2312"/>
                <w:bCs/>
              </w:rPr>
              <w:t>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lang w:val="en-US" w:eastAsia="zh-CN"/>
              </w:rPr>
              <w:t>22.6</w:t>
            </w:r>
            <w:r>
              <w:rPr>
                <w:rFonts w:hint="eastAsia" w:ascii="仿宋_GB2312" w:hAnsi="宋体" w:eastAsia="仿宋_GB2312"/>
                <w:bCs/>
              </w:rPr>
              <w:t>根据设备技术要求，提供使用和维修技术人员培训</w:t>
            </w:r>
          </w:p>
        </w:tc>
      </w:tr>
    </w:tbl>
    <w:p>
      <w:pPr>
        <w:rPr>
          <w:rFonts w:hint="eastAsia"/>
          <w:sz w:val="28"/>
          <w:szCs w:val="28"/>
        </w:rPr>
      </w:pPr>
      <w:r>
        <w:rPr>
          <w:rFonts w:hint="eastAsia"/>
          <w:sz w:val="28"/>
          <w:szCs w:val="28"/>
        </w:rPr>
        <w:t>产品配置清单：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4261" w:type="dxa"/>
            <w:noWrap w:val="0"/>
            <w:vAlign w:val="top"/>
          </w:tcPr>
          <w:p>
            <w:pPr>
              <w:jc w:val="center"/>
              <w:rPr>
                <w:rFonts w:hint="eastAsia"/>
                <w:sz w:val="28"/>
                <w:szCs w:val="28"/>
              </w:rPr>
            </w:pPr>
            <w:r>
              <w:rPr>
                <w:rFonts w:hint="eastAsia"/>
                <w:sz w:val="28"/>
                <w:szCs w:val="28"/>
              </w:rPr>
              <w:t>产品配置清单</w:t>
            </w:r>
          </w:p>
        </w:tc>
        <w:tc>
          <w:tcPr>
            <w:tcW w:w="4261" w:type="dxa"/>
            <w:noWrap w:val="0"/>
            <w:vAlign w:val="top"/>
          </w:tcPr>
          <w:p>
            <w:pPr>
              <w:jc w:val="center"/>
              <w:rPr>
                <w:rFonts w:hint="eastAsia"/>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rPr>
                <w:rFonts w:hint="eastAsia" w:ascii="宋体" w:hAnsi="宋体"/>
              </w:rPr>
            </w:pPr>
            <w:r>
              <w:rPr>
                <w:rFonts w:hint="eastAsia" w:ascii="宋体" w:hAnsi="宋体"/>
              </w:rPr>
              <w:t>PCR仪主机</w:t>
            </w:r>
          </w:p>
        </w:tc>
        <w:tc>
          <w:tcPr>
            <w:tcW w:w="4261" w:type="dxa"/>
            <w:noWrap w:val="0"/>
            <w:vAlign w:val="center"/>
          </w:tcPr>
          <w:p>
            <w:pPr>
              <w:widowControl/>
              <w:jc w:val="center"/>
              <w:textAlignment w:val="center"/>
              <w:rPr>
                <w:rFonts w:hint="default" w:ascii="宋体" w:hAnsi="宋体" w:eastAsia="宋体"/>
                <w:lang w:val="en-US" w:eastAsia="zh-CN"/>
              </w:rPr>
            </w:pPr>
            <w:r>
              <w:rPr>
                <w:rFonts w:hint="eastAsia" w:ascii="宋体"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rPr>
                <w:rFonts w:ascii="宋体" w:hAnsi="宋体"/>
              </w:rPr>
            </w:pPr>
            <w:r>
              <w:rPr>
                <w:rFonts w:hint="eastAsia" w:ascii="宋体" w:hAnsi="宋体"/>
              </w:rPr>
              <w:t>计算机</w:t>
            </w:r>
          </w:p>
        </w:tc>
        <w:tc>
          <w:tcPr>
            <w:tcW w:w="4261" w:type="dxa"/>
            <w:noWrap w:val="0"/>
            <w:vAlign w:val="center"/>
          </w:tcPr>
          <w:p>
            <w:pPr>
              <w:widowControl/>
              <w:jc w:val="center"/>
              <w:textAlignment w:val="center"/>
              <w:rPr>
                <w:rFonts w:hint="eastAsia" w:ascii="宋体" w:hAnsi="宋体" w:eastAsia="宋体"/>
                <w:lang w:eastAsia="zh-CN"/>
              </w:rPr>
            </w:pPr>
            <w:r>
              <w:rPr>
                <w:rFonts w:hint="eastAsia" w:ascii="宋体"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rPr>
                <w:rFonts w:ascii="宋体" w:hAnsi="宋体"/>
              </w:rPr>
            </w:pPr>
            <w:r>
              <w:rPr>
                <w:rFonts w:hint="eastAsia" w:ascii="宋体" w:hAnsi="宋体"/>
              </w:rPr>
              <w:t>控制及分析软件</w:t>
            </w:r>
          </w:p>
        </w:tc>
        <w:tc>
          <w:tcPr>
            <w:tcW w:w="4261" w:type="dxa"/>
            <w:noWrap w:val="0"/>
            <w:vAlign w:val="center"/>
          </w:tcPr>
          <w:p>
            <w:pPr>
              <w:widowControl/>
              <w:jc w:val="center"/>
              <w:textAlignment w:val="center"/>
              <w:rPr>
                <w:rFonts w:hint="eastAsia" w:ascii="宋体" w:hAnsi="宋体" w:eastAsia="宋体"/>
                <w:lang w:eastAsia="zh-CN"/>
              </w:rPr>
            </w:pPr>
            <w:r>
              <w:rPr>
                <w:rFonts w:hint="eastAsia" w:ascii="宋体"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rPr>
                <w:rFonts w:ascii="宋体" w:hAnsi="宋体"/>
              </w:rPr>
            </w:pPr>
            <w:r>
              <w:rPr>
                <w:rFonts w:hint="eastAsia" w:ascii="宋体" w:hAnsi="宋体"/>
              </w:rPr>
              <w:t>安装及验证试剂盒</w:t>
            </w:r>
          </w:p>
        </w:tc>
        <w:tc>
          <w:tcPr>
            <w:tcW w:w="4261" w:type="dxa"/>
            <w:noWrap w:val="0"/>
            <w:vAlign w:val="center"/>
          </w:tcPr>
          <w:p>
            <w:pPr>
              <w:widowControl/>
              <w:jc w:val="center"/>
              <w:textAlignment w:val="center"/>
              <w:rPr>
                <w:rFonts w:hint="eastAsia" w:ascii="宋体" w:hAnsi="宋体" w:eastAsia="宋体"/>
                <w:lang w:eastAsia="zh-CN"/>
              </w:rPr>
            </w:pPr>
            <w:r>
              <w:rPr>
                <w:rFonts w:hint="eastAsia" w:ascii="宋体" w:hAnsi="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rPr>
                <w:rFonts w:hint="eastAsia" w:ascii="宋体" w:hAnsi="宋体" w:eastAsia="宋体"/>
                <w:lang w:eastAsia="zh-CN"/>
              </w:rPr>
            </w:pPr>
            <w:r>
              <w:rPr>
                <w:rFonts w:hint="eastAsia" w:ascii="宋体" w:hAnsi="宋体"/>
                <w:lang w:eastAsia="zh-CN"/>
              </w:rPr>
              <w:t>打印机（激光，按医院现有型号配置）</w:t>
            </w:r>
          </w:p>
        </w:tc>
        <w:tc>
          <w:tcPr>
            <w:tcW w:w="4261" w:type="dxa"/>
            <w:noWrap w:val="0"/>
            <w:vAlign w:val="center"/>
          </w:tcPr>
          <w:p>
            <w:pPr>
              <w:widowControl/>
              <w:jc w:val="center"/>
              <w:textAlignment w:val="center"/>
              <w:rPr>
                <w:rFonts w:hint="eastAsia" w:ascii="宋体" w:hAnsi="宋体" w:eastAsia="宋体"/>
                <w:lang w:val="en-US" w:eastAsia="zh-CN"/>
              </w:rPr>
            </w:pPr>
            <w:r>
              <w:rPr>
                <w:rFonts w:hint="eastAsia" w:ascii="宋体" w:hAnsi="宋体"/>
                <w:lang w:val="en-US" w:eastAsia="zh-CN"/>
              </w:rPr>
              <w:t>1</w:t>
            </w:r>
          </w:p>
        </w:tc>
      </w:tr>
    </w:tbl>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pPr>
    </w:p>
    <w:p>
      <w:pPr>
        <w:pStyle w:val="2"/>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w:t>
      </w:r>
      <w:r>
        <w:rPr>
          <w:rFonts w:hint="eastAsia" w:ascii="新宋体" w:hAnsi="新宋体" w:eastAsia="新宋体" w:cs="新宋体"/>
          <w:sz w:val="24"/>
          <w:highlight w:val="yellow"/>
          <w:lang w:val="en-US" w:eastAsia="zh-CN"/>
        </w:rPr>
        <w:t>合同签订后3个工作日之内乙方向甲方交付设备</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合同签订后，设备到货验收合格并正常使用6个月内支付设备总货款的95%,一年后支付剩余5%货款。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3、设备运至甲方指定地点，乙方应指派工程师安装，安装完成后应对甲方相关操作人员进行设备操作的免费培训，直至甲方操作人员能熟练操作为止，乙方承担培训的薪资、差旅等全部费用。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w:t>
      </w:r>
      <w:r>
        <w:rPr>
          <w:rFonts w:hint="eastAsia" w:ascii="新宋体" w:hAnsi="新宋体" w:eastAsia="新宋体" w:cs="新宋体"/>
          <w:sz w:val="24"/>
          <w:highlight w:val="yellow"/>
          <w:lang w:val="en-US" w:eastAsia="zh-CN"/>
        </w:rPr>
        <w:t>整机免费质保期为3年</w:t>
      </w:r>
      <w:r>
        <w:rPr>
          <w:rFonts w:hint="eastAsia" w:ascii="新宋体" w:hAnsi="新宋体" w:eastAsia="新宋体" w:cs="新宋体"/>
          <w:sz w:val="24"/>
          <w:lang w:val="en-US" w:eastAsia="zh-CN"/>
        </w:rPr>
        <w:t>，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w:t>
      </w:r>
      <w:r>
        <w:rPr>
          <w:rFonts w:hint="eastAsia" w:ascii="新宋体" w:hAnsi="新宋体" w:eastAsia="新宋体" w:cs="新宋体"/>
          <w:sz w:val="24"/>
          <w:highlight w:val="yellow"/>
          <w:lang w:val="en-US" w:eastAsia="zh-CN"/>
        </w:rPr>
        <w:t>免费质保期内如果出现三次以上因质量问题引起的故障（人为因素除外），乙方应负责免费更换全套新设备，更换设备按更换日期重新计免费质保期</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w:t>
      </w:r>
      <w:r>
        <w:rPr>
          <w:rFonts w:hint="eastAsia" w:ascii="新宋体" w:hAnsi="新宋体" w:eastAsia="新宋体" w:cs="新宋体"/>
          <w:sz w:val="24"/>
          <w:highlight w:val="yellow"/>
          <w:lang w:val="en-US" w:eastAsia="zh-CN"/>
        </w:rPr>
        <w:t>双倍赔付损失</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乙方如果不能按时提供甲方所需的合格设备，由此影响了甲方正常工作，甲方有权终止合同，如果甲方要求乙方继续供货，乙方从合同约定交货之日起按每日总货款的2%赔付，直至货到之日为止</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w:t>
      </w:r>
      <w:r>
        <w:rPr>
          <w:rFonts w:hint="eastAsia" w:ascii="新宋体" w:hAnsi="新宋体" w:eastAsia="新宋体" w:cs="新宋体"/>
          <w:sz w:val="24"/>
          <w:highlight w:val="yellow"/>
          <w:lang w:val="en-US" w:eastAsia="zh-CN"/>
        </w:rPr>
        <w:t>乙方违反质量条款交付产品，应在接甲方通知七日内更换合同产品，否则每逾期一日承担合同总额的1%违约金</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highlight w:val="yellow"/>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numPr>
          <w:ilvl w:val="0"/>
          <w:numId w:val="0"/>
        </w:numPr>
        <w:jc w:val="center"/>
        <w:rPr>
          <w:rFonts w:hint="eastAsia" w:ascii="黑体" w:hAnsi="黑体" w:eastAsia="黑体" w:cs="黑体"/>
          <w:sz w:val="32"/>
          <w:szCs w:val="32"/>
          <w:lang w:eastAsia="zh-CN"/>
        </w:rPr>
      </w:pPr>
    </w:p>
    <w:p>
      <w:pPr>
        <w:pStyle w:val="2"/>
        <w:rPr>
          <w:rFonts w:hint="eastAsia"/>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格式自拟（需包含所报设备单价、总价）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bookmarkStart w:id="15" w:name="_GoBack"/>
      <w:bookmarkEnd w:id="15"/>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9548"/>
      <w:bookmarkStart w:id="5" w:name="_Toc219626747"/>
      <w:bookmarkStart w:id="6" w:name="_Toc320878640"/>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84B6B"/>
    <w:rsid w:val="0B9D1095"/>
    <w:rsid w:val="0BD8254C"/>
    <w:rsid w:val="0CE95F36"/>
    <w:rsid w:val="0CFB4C25"/>
    <w:rsid w:val="0E5B26BC"/>
    <w:rsid w:val="0E9016D0"/>
    <w:rsid w:val="0E93621F"/>
    <w:rsid w:val="111B0067"/>
    <w:rsid w:val="114C35D9"/>
    <w:rsid w:val="11953DFF"/>
    <w:rsid w:val="11C31BE9"/>
    <w:rsid w:val="12A11F66"/>
    <w:rsid w:val="14682D8B"/>
    <w:rsid w:val="15CF22E6"/>
    <w:rsid w:val="16A35C46"/>
    <w:rsid w:val="170D04F7"/>
    <w:rsid w:val="17D81E85"/>
    <w:rsid w:val="188744A6"/>
    <w:rsid w:val="1965314B"/>
    <w:rsid w:val="1A0C71E7"/>
    <w:rsid w:val="1BCA7DF5"/>
    <w:rsid w:val="1C900C49"/>
    <w:rsid w:val="1D5D013B"/>
    <w:rsid w:val="1D995826"/>
    <w:rsid w:val="1E4C6245"/>
    <w:rsid w:val="1F1D4095"/>
    <w:rsid w:val="213D0813"/>
    <w:rsid w:val="22023BDE"/>
    <w:rsid w:val="22401398"/>
    <w:rsid w:val="245F44FD"/>
    <w:rsid w:val="246624B2"/>
    <w:rsid w:val="24DF7354"/>
    <w:rsid w:val="24FE3AD7"/>
    <w:rsid w:val="25E13CF1"/>
    <w:rsid w:val="2643733F"/>
    <w:rsid w:val="264A511E"/>
    <w:rsid w:val="278100C0"/>
    <w:rsid w:val="288B4898"/>
    <w:rsid w:val="2A7E0BB7"/>
    <w:rsid w:val="2B0A7B44"/>
    <w:rsid w:val="2B7126E7"/>
    <w:rsid w:val="2ED21247"/>
    <w:rsid w:val="2F632DBF"/>
    <w:rsid w:val="30217C48"/>
    <w:rsid w:val="311B0235"/>
    <w:rsid w:val="31384F13"/>
    <w:rsid w:val="31827FC3"/>
    <w:rsid w:val="32367AE2"/>
    <w:rsid w:val="336D573F"/>
    <w:rsid w:val="33F956F6"/>
    <w:rsid w:val="35235DD9"/>
    <w:rsid w:val="35803DCD"/>
    <w:rsid w:val="359022EB"/>
    <w:rsid w:val="384A7AD5"/>
    <w:rsid w:val="3AD243FA"/>
    <w:rsid w:val="3B2A4846"/>
    <w:rsid w:val="3B5373B6"/>
    <w:rsid w:val="3C8F1C55"/>
    <w:rsid w:val="3CCF593D"/>
    <w:rsid w:val="3DA0606C"/>
    <w:rsid w:val="3EDC78BB"/>
    <w:rsid w:val="3EEB7664"/>
    <w:rsid w:val="433263AE"/>
    <w:rsid w:val="44504B88"/>
    <w:rsid w:val="44B67130"/>
    <w:rsid w:val="456841B6"/>
    <w:rsid w:val="4656733B"/>
    <w:rsid w:val="46BB2C0A"/>
    <w:rsid w:val="47552A75"/>
    <w:rsid w:val="486D7AF7"/>
    <w:rsid w:val="494804BB"/>
    <w:rsid w:val="4A2A20B9"/>
    <w:rsid w:val="4B4638AD"/>
    <w:rsid w:val="4B9C1C97"/>
    <w:rsid w:val="4BC500AA"/>
    <w:rsid w:val="4C1C5AD5"/>
    <w:rsid w:val="4FCE5CD6"/>
    <w:rsid w:val="514F77D3"/>
    <w:rsid w:val="53501B3C"/>
    <w:rsid w:val="550B217C"/>
    <w:rsid w:val="563E288F"/>
    <w:rsid w:val="57162389"/>
    <w:rsid w:val="57575861"/>
    <w:rsid w:val="5AD50E25"/>
    <w:rsid w:val="5CEA2A63"/>
    <w:rsid w:val="5D327E39"/>
    <w:rsid w:val="5D4D3632"/>
    <w:rsid w:val="5ED90E8F"/>
    <w:rsid w:val="615523A0"/>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 w:type="paragraph" w:customStyle="1" w:styleId="17">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4</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2021-12-21T12:11:00Z</cp:lastPrinted>
  <dcterms:modified xsi:type="dcterms:W3CDTF">2022-01-03T08:19:55Z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