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一批总务物资采购</w:t>
      </w:r>
      <w:r>
        <w:rPr>
          <w:rFonts w:hint="eastAsia" w:ascii="黑体" w:hAnsi="黑体" w:eastAsia="黑体" w:cs="黑体"/>
          <w:sz w:val="52"/>
          <w:szCs w:val="52"/>
          <w:lang w:eastAsia="zh-CN"/>
        </w:rPr>
        <w:t>项目询价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2021年12月14日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一批总务物资采购项目，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一批总务物资采购项目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15"/>
        <w:rPr>
          <w:rFonts w:hint="eastAsia"/>
          <w:lang w:val="en-US" w:eastAsia="zh-CN"/>
        </w:rPr>
      </w:pP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224"/>
        <w:gridCol w:w="246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序号</w:t>
            </w:r>
          </w:p>
        </w:tc>
        <w:tc>
          <w:tcPr>
            <w:tcW w:w="2224"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w:t>
            </w:r>
          </w:p>
        </w:tc>
        <w:tc>
          <w:tcPr>
            <w:tcW w:w="2460"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标段名称</w:t>
            </w:r>
          </w:p>
        </w:tc>
        <w:tc>
          <w:tcPr>
            <w:tcW w:w="2745"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p>
        </w:tc>
        <w:tc>
          <w:tcPr>
            <w:tcW w:w="2224"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标段一</w:t>
            </w:r>
          </w:p>
        </w:tc>
        <w:tc>
          <w:tcPr>
            <w:tcW w:w="2460"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五金电料</w:t>
            </w:r>
          </w:p>
        </w:tc>
        <w:tc>
          <w:tcPr>
            <w:tcW w:w="2745" w:type="dxa"/>
            <w:vMerge w:val="restart"/>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92"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p>
        </w:tc>
        <w:tc>
          <w:tcPr>
            <w:tcW w:w="2224"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标段二</w:t>
            </w:r>
          </w:p>
        </w:tc>
        <w:tc>
          <w:tcPr>
            <w:tcW w:w="2460" w:type="dxa"/>
            <w:noWrap w:val="0"/>
            <w:vAlign w:val="top"/>
          </w:tcPr>
          <w:p>
            <w:pPr>
              <w:pStyle w:val="15"/>
              <w:jc w:val="center"/>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日用百货</w:t>
            </w:r>
          </w:p>
        </w:tc>
        <w:tc>
          <w:tcPr>
            <w:tcW w:w="2745" w:type="dxa"/>
            <w:vMerge w:val="continue"/>
            <w:noWrap w:val="0"/>
            <w:vAlign w:val="top"/>
          </w:tcPr>
          <w:p>
            <w:pPr>
              <w:pStyle w:val="15"/>
              <w:jc w:val="center"/>
              <w:rPr>
                <w:rFonts w:hint="eastAsia" w:ascii="黑体" w:eastAsia="黑体"/>
                <w:sz w:val="32"/>
                <w:szCs w:val="32"/>
                <w:vertAlign w:val="baseline"/>
                <w:lang w:val="en-US" w:eastAsia="zh-CN"/>
              </w:rPr>
            </w:pPr>
          </w:p>
        </w:tc>
      </w:tr>
    </w:tbl>
    <w:p>
      <w:pPr>
        <w:widowControl w:val="0"/>
        <w:numPr>
          <w:ilvl w:val="0"/>
          <w:numId w:val="0"/>
        </w:numPr>
        <w:spacing w:line="560" w:lineRule="exact"/>
        <w:jc w:val="both"/>
        <w:rPr>
          <w:rFonts w:hint="eastAsia" w:ascii="黑体" w:eastAsia="黑体"/>
          <w:sz w:val="32"/>
          <w:szCs w:val="32"/>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15"/>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adjustRightInd w:val="0"/>
        <w:snapToGrid w:val="0"/>
        <w:jc w:val="center"/>
        <w:rPr>
          <w:rFonts w:hint="eastAsia" w:ascii="方正小标宋简体" w:hAnsi="方正小标宋简体" w:eastAsia="方正小标宋简体" w:cs="方正小标宋简体"/>
          <w:spacing w:val="4"/>
          <w:szCs w:val="21"/>
        </w:rPr>
      </w:pPr>
    </w:p>
    <w:p>
      <w:pPr>
        <w:adjustRightInd w:val="0"/>
        <w:snapToGrid w:val="0"/>
        <w:spacing w:line="480" w:lineRule="exact"/>
        <w:jc w:val="left"/>
        <w:rPr>
          <w:rFonts w:hint="eastAsia" w:ascii="黑体" w:hAnsi="黑体" w:eastAsia="黑体" w:cs="黑体"/>
          <w:spacing w:val="4"/>
          <w:sz w:val="28"/>
          <w:szCs w:val="28"/>
          <w:u w:val="single"/>
        </w:rPr>
      </w:pPr>
      <w:r>
        <w:rPr>
          <w:rFonts w:hint="eastAsia" w:ascii="黑体" w:hAnsi="黑体" w:eastAsia="黑体" w:cs="黑体"/>
          <w:spacing w:val="4"/>
          <w:sz w:val="28"/>
          <w:szCs w:val="28"/>
        </w:rPr>
        <w:t>甲方： </w:t>
      </w:r>
      <w:r>
        <w:rPr>
          <w:rFonts w:hint="eastAsia" w:ascii="黑体" w:hAnsi="黑体" w:eastAsia="黑体" w:cs="黑体"/>
          <w:spacing w:val="4"/>
          <w:sz w:val="28"/>
          <w:szCs w:val="28"/>
          <w:u w:val="single"/>
        </w:rPr>
        <w:t>新郑市公立人民医院</w:t>
      </w:r>
    </w:p>
    <w:p>
      <w:pPr>
        <w:adjustRightInd w:val="0"/>
        <w:snapToGrid w:val="0"/>
        <w:spacing w:line="480" w:lineRule="exact"/>
        <w:jc w:val="left"/>
        <w:rPr>
          <w:rFonts w:ascii="黑体" w:hAnsi="黑体" w:eastAsia="黑体" w:cs="黑体"/>
          <w:spacing w:val="4"/>
          <w:sz w:val="32"/>
          <w:szCs w:val="32"/>
        </w:rPr>
      </w:pPr>
      <w:r>
        <w:rPr>
          <w:rFonts w:hint="eastAsia" w:ascii="黑体" w:hAnsi="黑体" w:eastAsia="黑体" w:cs="黑体"/>
          <w:spacing w:val="4"/>
          <w:sz w:val="28"/>
          <w:szCs w:val="28"/>
        </w:rPr>
        <w:t>乙方：</w:t>
      </w:r>
    </w:p>
    <w:p>
      <w:pPr>
        <w:adjustRightInd w:val="0"/>
        <w:snapToGrid w:val="0"/>
        <w:spacing w:line="360" w:lineRule="auto"/>
        <w:ind w:firstLine="496" w:firstLineChars="200"/>
        <w:jc w:val="left"/>
        <w:rPr>
          <w:rFonts w:hint="eastAsia" w:ascii="仿宋" w:hAnsi="仿宋" w:eastAsia="仿宋" w:cs="仿宋"/>
          <w:spacing w:val="4"/>
          <w:sz w:val="24"/>
        </w:rPr>
      </w:pPr>
      <w:r>
        <w:rPr>
          <w:rFonts w:hint="eastAsia" w:ascii="仿宋_GB2312" w:hAnsi="仿宋_GB2312" w:eastAsia="仿宋_GB2312" w:cs="仿宋_GB2312"/>
          <w:spacing w:val="4"/>
          <w:sz w:val="24"/>
        </w:rPr>
        <w:t>根据《中华人民共和国民法典》</w:t>
      </w:r>
      <w:r>
        <w:rPr>
          <w:rFonts w:hint="eastAsia" w:ascii="仿宋_GB2312" w:hAnsi="仿宋_GB2312" w:eastAsia="仿宋_GB2312" w:cs="仿宋_GB2312"/>
          <w:sz w:val="24"/>
        </w:rPr>
        <w:t>及有关法律、法规的规定，</w:t>
      </w:r>
      <w:r>
        <w:rPr>
          <w:rFonts w:hint="eastAsia" w:ascii="仿宋_GB2312" w:hAnsi="仿宋_GB2312" w:eastAsia="仿宋_GB2312" w:cs="仿宋_GB2312"/>
          <w:spacing w:val="4"/>
          <w:sz w:val="24"/>
        </w:rPr>
        <w:t>甲、乙双方经过友好协商，就甲方向乙方采购后勤物资相关产品及服务，签订如下协议：</w:t>
      </w:r>
      <w:r>
        <w:rPr>
          <w:rFonts w:hint="eastAsia" w:ascii="仿宋" w:hAnsi="仿宋" w:eastAsia="仿宋" w:cs="仿宋"/>
          <w:spacing w:val="4"/>
          <w:sz w:val="24"/>
        </w:rPr>
        <w:t xml:space="preserve"> </w:t>
      </w:r>
    </w:p>
    <w:p>
      <w:pPr>
        <w:adjustRightInd w:val="0"/>
        <w:snapToGrid w:val="0"/>
        <w:spacing w:line="360" w:lineRule="auto"/>
        <w:ind w:firstLine="496" w:firstLineChars="200"/>
        <w:jc w:val="left"/>
        <w:rPr>
          <w:rFonts w:hint="eastAsia" w:ascii="仿宋" w:hAnsi="仿宋" w:eastAsia="仿宋" w:cs="仿宋"/>
          <w:spacing w:val="4"/>
          <w:sz w:val="24"/>
        </w:rPr>
      </w:pPr>
      <w:r>
        <w:rPr>
          <w:rFonts w:hint="eastAsia" w:ascii="黑体" w:hAnsi="黑体" w:eastAsia="黑体" w:cs="黑体"/>
          <w:spacing w:val="4"/>
          <w:sz w:val="24"/>
        </w:rPr>
        <w:t>一、供货范围、品名等</w:t>
      </w:r>
      <w:r>
        <w:rPr>
          <w:rFonts w:hint="eastAsia" w:ascii="仿宋" w:hAnsi="仿宋" w:eastAsia="仿宋" w:cs="仿宋"/>
          <w:spacing w:val="4"/>
          <w:sz w:val="24"/>
        </w:rPr>
        <w:t xml:space="preserve"> </w:t>
      </w:r>
    </w:p>
    <w:p>
      <w:pPr>
        <w:adjustRightInd w:val="0"/>
        <w:snapToGrid w:val="0"/>
        <w:spacing w:line="360" w:lineRule="auto"/>
        <w:ind w:firstLine="496" w:firstLineChars="200"/>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乙方为甲方提供所需物资，所供物资具体品名、规格型号、单位等详见附件。计划外产品采购以双方临时议价为准（不可高于市场平均价格）。因不可抗拒的因素引起的价格变动以实际价格据实结算。</w:t>
      </w:r>
    </w:p>
    <w:p>
      <w:pPr>
        <w:tabs>
          <w:tab w:val="left" w:pos="525"/>
        </w:tabs>
        <w:ind w:firstLine="211" w:firstLineChars="100"/>
        <w:rPr>
          <w:rFonts w:hint="eastAsia" w:ascii="仿宋" w:hAnsi="仿宋" w:eastAsia="仿宋" w:cs="仿宋"/>
          <w:spacing w:val="4"/>
          <w:sz w:val="24"/>
        </w:rPr>
      </w:pPr>
      <w:r>
        <w:rPr>
          <w:rFonts w:hint="eastAsia"/>
          <w:b/>
          <w:bCs/>
        </w:rPr>
        <w:t>产品名称、商标、型号规格、数量、金额：</w:t>
      </w:r>
      <w:r>
        <w:rPr>
          <w:rFonts w:hint="eastAsia"/>
          <w:b/>
        </w:rPr>
        <w:t xml:space="preserve">           </w:t>
      </w:r>
    </w:p>
    <w:tbl>
      <w:tblPr>
        <w:tblStyle w:val="13"/>
        <w:tblW w:w="718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506" w:type="dxa"/>
            <w:noWrap w:val="0"/>
            <w:vAlign w:val="center"/>
          </w:tcPr>
          <w:p>
            <w:pPr>
              <w:spacing w:before="156" w:beforeLines="50"/>
              <w:jc w:val="center"/>
              <w:rPr>
                <w:rFonts w:hint="eastAsia" w:ascii="仿宋" w:hAnsi="仿宋" w:eastAsia="仿宋" w:cs="仿宋"/>
                <w:bCs/>
                <w:sz w:val="24"/>
              </w:rPr>
            </w:pPr>
            <w:r>
              <w:rPr>
                <w:rFonts w:hint="eastAsia" w:ascii="宋体" w:hAnsi="宋体" w:cs="宋体"/>
                <w:color w:val="000000"/>
                <w:kern w:val="0"/>
                <w:sz w:val="24"/>
              </w:rPr>
              <w:t>货物名称</w:t>
            </w:r>
          </w:p>
        </w:tc>
        <w:tc>
          <w:tcPr>
            <w:tcW w:w="4674" w:type="dxa"/>
            <w:noWrap w:val="0"/>
            <w:vAlign w:val="center"/>
          </w:tcPr>
          <w:p>
            <w:pPr>
              <w:widowControl/>
              <w:wordWrap w:val="0"/>
              <w:snapToGrid w:val="0"/>
              <w:spacing w:line="460" w:lineRule="exact"/>
              <w:ind w:firstLine="420" w:firstLineChars="200"/>
              <w:jc w:val="lef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506" w:type="dxa"/>
            <w:noWrap w:val="0"/>
            <w:vAlign w:val="center"/>
          </w:tcPr>
          <w:p>
            <w:pPr>
              <w:spacing w:before="156" w:beforeLines="50"/>
              <w:jc w:val="center"/>
              <w:rPr>
                <w:rFonts w:hint="eastAsia" w:ascii="仿宋" w:hAnsi="仿宋" w:eastAsia="仿宋" w:cs="仿宋"/>
                <w:bCs/>
                <w:sz w:val="24"/>
              </w:rPr>
            </w:pPr>
            <w:r>
              <w:rPr>
                <w:rFonts w:hint="eastAsia" w:ascii="宋体" w:hAnsi="宋体" w:cs="宋体"/>
                <w:color w:val="000000"/>
                <w:kern w:val="0"/>
                <w:sz w:val="24"/>
              </w:rPr>
              <w:t>型号规格</w:t>
            </w:r>
          </w:p>
        </w:tc>
        <w:tc>
          <w:tcPr>
            <w:tcW w:w="4674" w:type="dxa"/>
            <w:noWrap w:val="0"/>
            <w:vAlign w:val="center"/>
          </w:tcPr>
          <w:p>
            <w:pPr>
              <w:widowControl/>
              <w:wordWrap w:val="0"/>
              <w:snapToGrid w:val="0"/>
              <w:spacing w:line="460" w:lineRule="exact"/>
              <w:ind w:firstLine="420" w:firstLineChars="200"/>
              <w:jc w:val="lef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6" w:type="dxa"/>
            <w:noWrap w:val="0"/>
            <w:vAlign w:val="center"/>
          </w:tcPr>
          <w:p>
            <w:pPr>
              <w:spacing w:before="156" w:beforeLines="50"/>
              <w:jc w:val="center"/>
              <w:rPr>
                <w:rFonts w:ascii="仿宋" w:hAnsi="仿宋" w:eastAsia="仿宋" w:cs="仿宋"/>
                <w:bCs/>
                <w:sz w:val="24"/>
              </w:rPr>
            </w:pPr>
            <w:r>
              <w:rPr>
                <w:rFonts w:hint="eastAsia" w:ascii="宋体" w:hAnsi="宋体" w:cs="宋体"/>
                <w:color w:val="000000"/>
                <w:kern w:val="0"/>
                <w:sz w:val="24"/>
              </w:rPr>
              <w:t>技术参数</w:t>
            </w:r>
          </w:p>
        </w:tc>
        <w:tc>
          <w:tcPr>
            <w:tcW w:w="4674" w:type="dxa"/>
            <w:noWrap w:val="0"/>
            <w:vAlign w:val="center"/>
          </w:tcPr>
          <w:p>
            <w:pPr>
              <w:spacing w:before="156" w:beforeLines="50"/>
              <w:jc w:val="center"/>
              <w:rPr>
                <w:rFonts w:hint="eastAsia" w:ascii="仿宋" w:hAnsi="仿宋" w:eastAsia="仿宋" w:cs="仿宋"/>
                <w:bCs/>
                <w:szCs w:val="21"/>
              </w:rPr>
            </w:pPr>
          </w:p>
        </w:tc>
      </w:tr>
    </w:tbl>
    <w:p>
      <w:pPr>
        <w:widowControl/>
        <w:wordWrap w:val="0"/>
        <w:snapToGrid w:val="0"/>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金额为人民币（大写）：</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 xml:space="preserve"> （元整）</w:t>
      </w:r>
    </w:p>
    <w:p>
      <w:pPr>
        <w:spacing w:line="360" w:lineRule="auto"/>
        <w:ind w:firstLine="480" w:firstLineChars="200"/>
        <w:rPr>
          <w:rFonts w:hint="eastAsia"/>
          <w:sz w:val="20"/>
          <w:szCs w:val="22"/>
        </w:rPr>
      </w:pPr>
      <w:r>
        <w:rPr>
          <w:rFonts w:hint="eastAsia" w:ascii="仿宋" w:hAnsi="仿宋" w:eastAsia="仿宋" w:cs="仿宋"/>
          <w:sz w:val="24"/>
        </w:rPr>
        <w:t>上述费用包括商品税费、运输费等费用。</w:t>
      </w:r>
    </w:p>
    <w:p>
      <w:pPr>
        <w:adjustRightInd w:val="0"/>
        <w:snapToGrid w:val="0"/>
        <w:spacing w:line="360" w:lineRule="auto"/>
        <w:ind w:left="420" w:leftChars="200"/>
        <w:jc w:val="left"/>
        <w:rPr>
          <w:rFonts w:hint="eastAsia" w:ascii="黑体" w:hAnsi="黑体" w:eastAsia="黑体" w:cs="黑体"/>
          <w:spacing w:val="4"/>
          <w:sz w:val="24"/>
        </w:rPr>
      </w:pPr>
      <w:r>
        <w:rPr>
          <w:rFonts w:hint="eastAsia" w:ascii="黑体" w:hAnsi="黑体" w:eastAsia="黑体" w:cs="黑体"/>
          <w:spacing w:val="4"/>
          <w:sz w:val="24"/>
        </w:rPr>
        <w:t xml:space="preserve">二、交货时间、地点与方式 </w:t>
      </w:r>
    </w:p>
    <w:p>
      <w:pPr>
        <w:numPr>
          <w:ilvl w:val="0"/>
          <w:numId w:val="7"/>
        </w:numPr>
        <w:adjustRightInd w:val="0"/>
        <w:snapToGrid w:val="0"/>
        <w:spacing w:line="360" w:lineRule="auto"/>
        <w:ind w:firstLine="496" w:firstLineChars="200"/>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乙方对所供物资应适当备货，确保甲方需要。甲方下达的采购计划应在48</w:t>
      </w:r>
      <w:r>
        <w:rPr>
          <w:rFonts w:hint="eastAsia" w:ascii="仿宋_GB2312" w:hAnsi="仿宋_GB2312" w:eastAsia="仿宋_GB2312" w:cs="仿宋_GB2312"/>
          <w:sz w:val="24"/>
        </w:rPr>
        <w:t>小时</w:t>
      </w:r>
      <w:r>
        <w:rPr>
          <w:rFonts w:hint="eastAsia" w:ascii="仿宋_GB2312" w:hAnsi="仿宋_GB2312" w:eastAsia="仿宋_GB2312" w:cs="仿宋_GB2312"/>
          <w:spacing w:val="4"/>
          <w:sz w:val="24"/>
        </w:rPr>
        <w:t>供货到位，临时采购计划在双方协定的时间内供货，不得因供货不及时影响甲方正常工作。</w:t>
      </w:r>
    </w:p>
    <w:p>
      <w:pPr>
        <w:numPr>
          <w:ilvl w:val="0"/>
          <w:numId w:val="7"/>
        </w:numPr>
        <w:adjustRightInd w:val="0"/>
        <w:snapToGrid w:val="0"/>
        <w:spacing w:line="360" w:lineRule="auto"/>
        <w:ind w:firstLine="496" w:firstLineChars="200"/>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物资运达所产生的费用由乙方负责。运输途中的破损，由乙方负责。</w:t>
      </w:r>
    </w:p>
    <w:p>
      <w:pPr>
        <w:numPr>
          <w:ilvl w:val="0"/>
          <w:numId w:val="7"/>
        </w:numPr>
        <w:adjustRightInd w:val="0"/>
        <w:snapToGrid w:val="0"/>
        <w:spacing w:line="360" w:lineRule="auto"/>
        <w:ind w:firstLine="496" w:firstLineChars="200"/>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 xml:space="preserve">乙方所供商品必须事先送达甲方库房办理验收入库手续。 </w:t>
      </w:r>
    </w:p>
    <w:p>
      <w:pPr>
        <w:numPr>
          <w:ilvl w:val="0"/>
          <w:numId w:val="7"/>
        </w:numPr>
        <w:adjustRightInd w:val="0"/>
        <w:snapToGrid w:val="0"/>
        <w:spacing w:line="360" w:lineRule="auto"/>
        <w:ind w:firstLine="496" w:firstLineChars="200"/>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交易地点：新郑市公立人民医院。</w:t>
      </w:r>
    </w:p>
    <w:p>
      <w:pPr>
        <w:spacing w:line="360" w:lineRule="auto"/>
        <w:ind w:firstLine="480" w:firstLineChars="200"/>
        <w:rPr>
          <w:rFonts w:hint="eastAsia" w:ascii="黑体" w:hAnsi="黑体" w:eastAsia="黑体" w:cs="黑体"/>
          <w:spacing w:val="4"/>
          <w:sz w:val="24"/>
        </w:rPr>
      </w:pPr>
      <w:r>
        <w:rPr>
          <w:rFonts w:hint="eastAsia" w:ascii="仿宋_GB2312" w:hAnsi="仿宋_GB2312" w:eastAsia="仿宋_GB2312" w:cs="仿宋_GB2312"/>
          <w:sz w:val="24"/>
        </w:rPr>
        <w:t>5.进入甲方院区的乙方车辆、人员必须严格遵守甲方安全要求。如有违反有关规定，甲方有权按规定进行处罚。因此而产生的一切后果均由乙方负责。</w:t>
      </w:r>
    </w:p>
    <w:p>
      <w:pPr>
        <w:adjustRightInd w:val="0"/>
        <w:snapToGrid w:val="0"/>
        <w:spacing w:line="360" w:lineRule="auto"/>
        <w:ind w:left="420" w:leftChars="200"/>
        <w:jc w:val="left"/>
        <w:rPr>
          <w:rFonts w:hint="eastAsia" w:ascii="黑体" w:hAnsi="黑体" w:eastAsia="黑体" w:cs="黑体"/>
          <w:spacing w:val="4"/>
          <w:sz w:val="24"/>
        </w:rPr>
      </w:pPr>
      <w:r>
        <w:rPr>
          <w:rFonts w:hint="eastAsia" w:ascii="黑体" w:hAnsi="黑体" w:eastAsia="黑体" w:cs="黑体"/>
          <w:spacing w:val="4"/>
          <w:sz w:val="24"/>
        </w:rPr>
        <w:t xml:space="preserve">三、资质保证 </w:t>
      </w:r>
    </w:p>
    <w:p>
      <w:pPr>
        <w:spacing w:line="360" w:lineRule="auto"/>
        <w:ind w:firstLine="480" w:firstLineChars="200"/>
        <w:rPr>
          <w:rFonts w:hint="eastAsia" w:ascii="仿宋_GB2312" w:hAnsi="仿宋_GB2312" w:eastAsia="仿宋_GB2312" w:cs="仿宋_GB2312"/>
          <w:sz w:val="24"/>
        </w:rPr>
      </w:pPr>
      <w:r>
        <w:rPr>
          <w:rFonts w:hint="eastAsia" w:ascii="仿宋" w:hAnsi="仿宋" w:eastAsia="仿宋" w:cs="仿宋"/>
          <w:sz w:val="24"/>
        </w:rPr>
        <w:t>1</w:t>
      </w:r>
      <w:r>
        <w:rPr>
          <w:rFonts w:hint="eastAsia" w:ascii="仿宋_GB2312" w:hAnsi="仿宋_GB2312" w:eastAsia="仿宋_GB2312" w:cs="仿宋_GB2312"/>
          <w:sz w:val="24"/>
        </w:rPr>
        <w:t>、乙方应对其经营的商品和经营行为负全责，不得供应假冒伪劣商品；如有违反，甲方有权制止及单方终止合同；因此造成的损失由乙方自己负责；造成甲方的经济损失，乙方负全部责任，并赔偿损失。</w:t>
      </w:r>
    </w:p>
    <w:p>
      <w:pPr>
        <w:spacing w:line="360" w:lineRule="auto"/>
        <w:ind w:left="53" w:leftChars="25"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2、乙方所供商品若不符合甲方商品质量标准规范的，甲方有权拒绝签收，因此造成的一切费用和损失由乙方自行承担。</w:t>
      </w:r>
    </w:p>
    <w:p>
      <w:pPr>
        <w:pStyle w:val="8"/>
        <w:widowControl/>
        <w:shd w:val="clear" w:color="auto" w:fill="FFFFFF"/>
        <w:spacing w:line="360" w:lineRule="auto"/>
        <w:ind w:firstLine="480" w:firstLineChars="200"/>
        <w:rPr>
          <w:rFonts w:hint="eastAsia" w:ascii="黑体" w:hAnsi="黑体" w:eastAsia="黑体" w:cs="黑体"/>
          <w:spacing w:val="4"/>
        </w:rPr>
      </w:pPr>
      <w:r>
        <w:rPr>
          <w:rFonts w:hint="eastAsia" w:ascii="仿宋_GB2312" w:hAnsi="仿宋_GB2312" w:eastAsia="仿宋_GB2312" w:cs="仿宋_GB2312"/>
        </w:rPr>
        <w:t>3、乙方货到后甲方应组织人员初验，初验合格的，甲方签收;初验不合格的，甲方退回乙方，由此引起的损失由乙方自担;按甲方要求送货到现场堆好后验收使用。为确保质量，乙方必须及时提供甲方所需的有关资料(1、营业执照2、生产许可证3、准用证或准入证4、合格证5、产品检测报告）等。</w:t>
      </w:r>
    </w:p>
    <w:p>
      <w:pPr>
        <w:adjustRightInd w:val="0"/>
        <w:snapToGrid w:val="0"/>
        <w:spacing w:line="360" w:lineRule="auto"/>
        <w:ind w:left="420" w:leftChars="200"/>
        <w:jc w:val="left"/>
        <w:rPr>
          <w:rFonts w:hint="eastAsia" w:ascii="黑体" w:hAnsi="黑体" w:eastAsia="黑体" w:cs="黑体"/>
          <w:spacing w:val="4"/>
          <w:sz w:val="24"/>
        </w:rPr>
      </w:pPr>
      <w:r>
        <w:rPr>
          <w:rFonts w:hint="eastAsia" w:ascii="黑体" w:hAnsi="黑体" w:eastAsia="黑体" w:cs="黑体"/>
          <w:spacing w:val="4"/>
          <w:sz w:val="24"/>
        </w:rPr>
        <w:t>四、付款方式</w:t>
      </w:r>
    </w:p>
    <w:p>
      <w:pPr>
        <w:adjustRightInd w:val="0"/>
        <w:snapToGrid w:val="0"/>
        <w:spacing w:line="360" w:lineRule="auto"/>
        <w:ind w:firstLine="496" w:firstLineChars="200"/>
        <w:jc w:val="left"/>
        <w:rPr>
          <w:rFonts w:hint="eastAsia" w:ascii="仿宋" w:hAnsi="仿宋" w:eastAsia="仿宋" w:cs="仿宋"/>
          <w:spacing w:val="4"/>
          <w:sz w:val="24"/>
        </w:rPr>
      </w:pPr>
      <w:r>
        <w:rPr>
          <w:rFonts w:hint="eastAsia" w:ascii="仿宋_GB2312" w:hAnsi="仿宋_GB2312" w:eastAsia="仿宋_GB2312" w:cs="仿宋_GB2312"/>
          <w:spacing w:val="4"/>
          <w:sz w:val="24"/>
        </w:rPr>
        <w:t>乙方按正常途径供货并办理入库手续后，甲方凭乙方开具的送货清单、发票，按医院财务规定的程序据实结算。</w:t>
      </w:r>
      <w:r>
        <w:rPr>
          <w:rFonts w:hint="eastAsia" w:ascii="仿宋" w:hAnsi="仿宋" w:eastAsia="仿宋" w:cs="仿宋"/>
          <w:spacing w:val="4"/>
          <w:sz w:val="24"/>
        </w:rPr>
        <w:t xml:space="preserve"> </w:t>
      </w:r>
    </w:p>
    <w:p>
      <w:pPr>
        <w:numPr>
          <w:ilvl w:val="0"/>
          <w:numId w:val="8"/>
        </w:numPr>
        <w:adjustRightInd w:val="0"/>
        <w:snapToGrid w:val="0"/>
        <w:spacing w:line="360" w:lineRule="auto"/>
        <w:ind w:left="420" w:leftChars="200"/>
        <w:jc w:val="left"/>
        <w:rPr>
          <w:rFonts w:hint="eastAsia" w:ascii="黑体" w:hAnsi="黑体" w:eastAsia="黑体" w:cs="黑体"/>
          <w:spacing w:val="4"/>
          <w:sz w:val="24"/>
        </w:rPr>
      </w:pPr>
      <w:r>
        <w:rPr>
          <w:rFonts w:hint="eastAsia" w:ascii="黑体" w:hAnsi="黑体" w:eastAsia="黑体" w:cs="黑体"/>
          <w:spacing w:val="4"/>
          <w:sz w:val="24"/>
        </w:rPr>
        <w:t xml:space="preserve">双方责任 </w:t>
      </w:r>
    </w:p>
    <w:p>
      <w:pPr>
        <w:numPr>
          <w:ilvl w:val="0"/>
          <w:numId w:val="9"/>
        </w:numPr>
        <w:spacing w:line="36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乙方所供物品质量要符合甲方要求，并按照国家相关的“三包”制度包修，包换，包退。</w:t>
      </w:r>
    </w:p>
    <w:p>
      <w:pPr>
        <w:numPr>
          <w:ilvl w:val="0"/>
          <w:numId w:val="9"/>
        </w:numPr>
        <w:spacing w:line="36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乙方采购物品后，需按甲方要求时间和地点交货，运费由乙方承担。</w:t>
      </w:r>
    </w:p>
    <w:p>
      <w:pPr>
        <w:numPr>
          <w:ilvl w:val="0"/>
          <w:numId w:val="9"/>
        </w:numPr>
        <w:spacing w:line="36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乙方负责按甲方实际供货要求出具正式发票。</w:t>
      </w:r>
    </w:p>
    <w:p>
      <w:pPr>
        <w:numPr>
          <w:ilvl w:val="0"/>
          <w:numId w:val="9"/>
        </w:numPr>
        <w:spacing w:line="36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kern w:val="0"/>
          <w:sz w:val="24"/>
        </w:rPr>
        <w:t>乙方在货物发运前对其进行满足运输距离、防潮、防震、防锈和防破损装卸等要求包装，以保证货物安全运达甲方指定地点。</w:t>
      </w:r>
      <w:r>
        <w:rPr>
          <w:rFonts w:hint="eastAsia" w:ascii="仿宋_GB2312" w:hAnsi="仿宋_GB2312" w:eastAsia="仿宋_GB2312" w:cs="仿宋_GB2312"/>
          <w:sz w:val="24"/>
        </w:rPr>
        <w:t>如在交货后，货品存在质量问题，乙方应在3个工作日内负责退换货服务，特殊商品（甲乙双方商议决定）。</w:t>
      </w:r>
    </w:p>
    <w:p>
      <w:pPr>
        <w:pStyle w:val="5"/>
        <w:rPr>
          <w:rFonts w:hint="eastAsia" w:ascii="仿宋_GB2312" w:hAnsi="仿宋_GB2312" w:eastAsia="仿宋_GB2312" w:cs="仿宋_GB2312"/>
        </w:rPr>
      </w:pPr>
      <w:r>
        <w:rPr>
          <w:rFonts w:hint="eastAsia" w:ascii="仿宋_GB2312" w:hAnsi="仿宋_GB2312" w:eastAsia="仿宋_GB2312" w:cs="仿宋_GB2312"/>
          <w:kern w:val="0"/>
        </w:rPr>
        <w:t>5、甲方按合同约定付款。</w:t>
      </w:r>
      <w:r>
        <w:rPr>
          <w:rFonts w:hint="eastAsia" w:ascii="仿宋_GB2312" w:hAnsi="仿宋_GB2312" w:eastAsia="仿宋_GB2312" w:cs="仿宋_GB2312"/>
        </w:rPr>
        <w:t>配送货物后，乙方将上月所有配送货物汇总后与甲方核对，核对无误后按照甲方要求开具相应的发票，甲方在收到发票后汇款给乙方账户。</w:t>
      </w:r>
    </w:p>
    <w:p>
      <w:pPr>
        <w:autoSpaceDE w:val="0"/>
        <w:autoSpaceDN w:val="0"/>
        <w:adjustRightInd w:val="0"/>
        <w:spacing w:line="360" w:lineRule="auto"/>
        <w:ind w:firstLine="480" w:firstLineChars="200"/>
        <w:rPr>
          <w:rFonts w:hint="eastAsia" w:ascii="仿宋_GB2312" w:hAnsi="仿宋_GB2312" w:eastAsia="仿宋_GB2312" w:cs="仿宋_GB2312"/>
          <w:spacing w:val="4"/>
          <w:sz w:val="24"/>
        </w:rPr>
      </w:pPr>
      <w:r>
        <w:rPr>
          <w:rFonts w:hint="eastAsia" w:ascii="仿宋_GB2312" w:hAnsi="仿宋_GB2312" w:eastAsia="仿宋_GB2312" w:cs="仿宋_GB2312"/>
          <w:kern w:val="0"/>
          <w:sz w:val="24"/>
        </w:rPr>
        <w:t>6、甲方若需乙方提供更换物品服务时，需提前一个工作日通知乙方。</w:t>
      </w:r>
    </w:p>
    <w:p>
      <w:pPr>
        <w:autoSpaceDE w:val="0"/>
        <w:autoSpaceDN w:val="0"/>
        <w:adjustRightInd w:val="0"/>
        <w:spacing w:line="360" w:lineRule="auto"/>
        <w:ind w:firstLine="560" w:firstLineChars="200"/>
        <w:rPr>
          <w:rFonts w:hint="eastAsia" w:ascii="黑体" w:hAnsi="黑体" w:eastAsia="黑体" w:cs="黑体"/>
          <w:spacing w:val="20"/>
          <w:sz w:val="24"/>
        </w:rPr>
      </w:pPr>
      <w:r>
        <w:rPr>
          <w:rFonts w:hint="eastAsia" w:ascii="黑体" w:hAnsi="黑体" w:eastAsia="黑体" w:cs="黑体"/>
          <w:spacing w:val="20"/>
          <w:sz w:val="24"/>
        </w:rPr>
        <w:t>六、售后服务和退换货</w:t>
      </w:r>
    </w:p>
    <w:p>
      <w:pPr>
        <w:pStyle w:val="15"/>
        <w:ind w:firstLine="480" w:firstLineChars="200"/>
        <w:rPr>
          <w:rFonts w:hint="eastAsia"/>
          <w:lang w:val="zh-CN"/>
        </w:rPr>
      </w:pPr>
      <w:r>
        <w:rPr>
          <w:rFonts w:hint="eastAsia" w:ascii="宋体" w:hAnsi="Arial" w:cs="宋体"/>
          <w:kern w:val="0"/>
          <w:szCs w:val="21"/>
        </w:rPr>
        <w:t xml:space="preserve"> </w:t>
      </w:r>
      <w:r>
        <w:rPr>
          <w:rFonts w:hint="eastAsia" w:ascii="仿宋_GB2312" w:hAnsi="仿宋_GB2312" w:eastAsia="仿宋_GB2312" w:cs="仿宋_GB2312"/>
          <w:kern w:val="0"/>
        </w:rPr>
        <w:t>1、乙</w:t>
      </w:r>
      <w:r>
        <w:rPr>
          <w:rFonts w:hint="eastAsia" w:ascii="仿宋_GB2312" w:hAnsi="仿宋_GB2312" w:eastAsia="仿宋_GB2312" w:cs="仿宋_GB2312"/>
          <w:kern w:val="0"/>
          <w:lang w:val="zh-CN"/>
        </w:rPr>
        <w:t>方所供之商品，在甲方使用过程中，不论破损、变形等因素乙方承诺可根据实际情况退、换货。</w:t>
      </w:r>
    </w:p>
    <w:p>
      <w:pPr>
        <w:autoSpaceDE w:val="0"/>
        <w:autoSpaceDN w:val="0"/>
        <w:adjustRightInd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rPr>
        <w:t>2、乙</w:t>
      </w:r>
      <w:r>
        <w:rPr>
          <w:rFonts w:hint="eastAsia" w:ascii="仿宋_GB2312" w:hAnsi="仿宋_GB2312" w:eastAsia="仿宋_GB2312" w:cs="仿宋_GB2312"/>
          <w:kern w:val="0"/>
          <w:sz w:val="24"/>
          <w:lang w:val="zh-CN"/>
        </w:rPr>
        <w:t>方所供之商品，</w:t>
      </w:r>
      <w:r>
        <w:rPr>
          <w:rFonts w:hint="eastAsia" w:ascii="仿宋_GB2312" w:hAnsi="仿宋_GB2312" w:eastAsia="仿宋_GB2312" w:cs="仿宋_GB2312"/>
          <w:kern w:val="0"/>
          <w:sz w:val="24"/>
        </w:rPr>
        <w:t>造成</w:t>
      </w:r>
      <w:r>
        <w:rPr>
          <w:rFonts w:hint="eastAsia" w:ascii="仿宋_GB2312" w:hAnsi="仿宋_GB2312" w:eastAsia="仿宋_GB2312" w:cs="仿宋_GB2312"/>
          <w:kern w:val="0"/>
          <w:sz w:val="24"/>
          <w:lang w:val="zh-CN"/>
        </w:rPr>
        <w:t>投诉并自查属于质量问题时，乙方承诺无条件退换货。</w:t>
      </w:r>
    </w:p>
    <w:p>
      <w:pPr>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3、超过国家规定三包有效期的不予退换货。</w:t>
      </w:r>
    </w:p>
    <w:p>
      <w:pPr>
        <w:spacing w:line="360" w:lineRule="auto"/>
        <w:ind w:firstLine="496" w:firstLineChars="200"/>
        <w:rPr>
          <w:rFonts w:hint="eastAsia" w:ascii="宋体" w:hAnsi="宋体"/>
          <w:b/>
          <w:bCs/>
          <w:sz w:val="24"/>
        </w:rPr>
      </w:pPr>
      <w:r>
        <w:rPr>
          <w:rFonts w:hint="eastAsia" w:ascii="黑体" w:hAnsi="黑体" w:eastAsia="黑体" w:cs="黑体"/>
          <w:spacing w:val="4"/>
          <w:sz w:val="24"/>
        </w:rPr>
        <w:t>七、</w:t>
      </w:r>
      <w:r>
        <w:rPr>
          <w:rFonts w:hint="eastAsia" w:ascii="黑体" w:hAnsi="黑体" w:eastAsia="黑体" w:cs="黑体"/>
          <w:sz w:val="24"/>
        </w:rPr>
        <w:t>合同终止与违约责任</w:t>
      </w:r>
    </w:p>
    <w:p>
      <w:pPr>
        <w:spacing w:line="360" w:lineRule="auto"/>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1.合同有效期内，甲方每年对乙方合同履行能力、产品质量、售后服务等进行确认，乙方有义务配合甲方进行合同确认工作。</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（1）乙方向甲方提供的所有资质证明必须合法有效，到期后应主动续期或更换，否则甲方有权利终止合同。</w:t>
      </w:r>
    </w:p>
    <w:p>
      <w:pPr>
        <w:pStyle w:val="4"/>
        <w:spacing w:line="360" w:lineRule="auto"/>
        <w:rPr>
          <w:rFonts w:hint="eastAsia" w:ascii="仿宋_GB2312" w:hAnsi="仿宋_GB2312" w:eastAsia="仿宋_GB2312" w:cs="仿宋_GB2312"/>
        </w:rPr>
      </w:pPr>
      <w:r>
        <w:rPr>
          <w:rFonts w:hint="eastAsia" w:ascii="仿宋_GB2312" w:hAnsi="仿宋_GB2312" w:eastAsia="仿宋_GB2312" w:cs="仿宋_GB2312"/>
        </w:rPr>
        <w:t>（2）乙方提供虚假或过期资质材料、销售无证、假冒伪劣产品或产品质量出现问题，或经营企业超许可证经营范围销售产品，或有违纪违法行为，甲方有权终止合同，并要求乙方承担由此造成的所有损失；如果甲方因此问题而被第三人起诉或被行政处罚的，由乙方承担由此给甲方造成的所有损失。乙方的上述责任不因该产品是乙方从第三处采购后转卖甲方而免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（3）合同期内所提供产品如发生质量问题或乙方服务不符合合同约定，甲方有权提前终止合同。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2、如因政策或市场变化，产品价格变动较大，经甲乙双方协商后，另签补充协议确定。</w:t>
      </w:r>
    </w:p>
    <w:p>
      <w:pPr>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bCs/>
          <w:sz w:val="24"/>
        </w:rPr>
        <w:t>3</w:t>
      </w:r>
      <w:r>
        <w:rPr>
          <w:rFonts w:hint="eastAsia" w:ascii="仿宋_GB2312" w:hAnsi="仿宋_GB2312" w:eastAsia="仿宋_GB2312" w:cs="仿宋_GB2312"/>
          <w:bCs/>
          <w:sz w:val="24"/>
        </w:rPr>
        <w:t>.</w:t>
      </w:r>
      <w:r>
        <w:rPr>
          <w:rFonts w:hint="eastAsia" w:ascii="仿宋_GB2312" w:hAnsi="仿宋_GB2312" w:eastAsia="仿宋_GB2312" w:cs="仿宋_GB2312"/>
          <w:sz w:val="24"/>
        </w:rPr>
        <w:t>合同签订后，双方不得终止合同，经双方协商同意终止除外。若一方单方面终止合同或违反合同约定或未完全履行合同，则必须承担相应的违约责任，并赔偿另一方因此造成的损失。</w:t>
      </w:r>
    </w:p>
    <w:p>
      <w:pPr>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.乙方迟延交货，应提前告知甲方并与甲方协商重新确定交货期，否则甲方有权利解除合同并要求乙方赔偿损失。</w:t>
      </w:r>
    </w:p>
    <w:p>
      <w:pPr>
        <w:pStyle w:val="4"/>
        <w:spacing w:line="360" w:lineRule="auto"/>
        <w:rPr>
          <w:rFonts w:hint="eastAsia" w:ascii="黑体" w:hAnsi="黑体" w:eastAsia="黑体" w:cs="黑体"/>
          <w:spacing w:val="20"/>
        </w:rPr>
      </w:pPr>
      <w:r>
        <w:rPr>
          <w:rFonts w:ascii="仿宋_GB2312" w:hAnsi="仿宋_GB2312" w:eastAsia="仿宋_GB2312" w:cs="仿宋_GB2312"/>
        </w:rPr>
        <w:t>5</w:t>
      </w:r>
      <w:r>
        <w:rPr>
          <w:rFonts w:hint="eastAsia" w:ascii="仿宋_GB2312" w:hAnsi="仿宋_GB2312" w:eastAsia="仿宋_GB2312" w:cs="仿宋_GB2312"/>
        </w:rPr>
        <w:t>.</w:t>
      </w:r>
      <w:r>
        <w:rPr>
          <w:rFonts w:hint="eastAsia" w:ascii="仿宋_GB2312" w:hAnsi="仿宋_GB2312" w:eastAsia="仿宋_GB2312" w:cs="仿宋_GB2312"/>
          <w:bCs/>
        </w:rPr>
        <w:t>乙方在合同效期内原则上不得更改公司，不得转授权变更供应商。若因生产厂家授权变更等原因乙方不能供货，则视为自动终止合同，乙方必须赔偿由此给甲方造成的一切损失。</w:t>
      </w:r>
    </w:p>
    <w:p>
      <w:pPr>
        <w:spacing w:line="360" w:lineRule="auto"/>
        <w:ind w:firstLine="420" w:firstLineChars="150"/>
        <w:rPr>
          <w:rFonts w:hint="eastAsia" w:ascii="黑体" w:hAnsi="黑体" w:eastAsia="黑体" w:cs="黑体"/>
          <w:szCs w:val="21"/>
        </w:rPr>
      </w:pPr>
      <w:r>
        <w:rPr>
          <w:rFonts w:hint="eastAsia" w:ascii="黑体" w:hAnsi="黑体" w:eastAsia="黑体" w:cs="黑体"/>
          <w:spacing w:val="20"/>
          <w:sz w:val="24"/>
        </w:rPr>
        <w:t>八、不可抗力</w:t>
      </w:r>
    </w:p>
    <w:p>
      <w:pPr>
        <w:pStyle w:val="5"/>
        <w:rPr>
          <w:rFonts w:hint="eastAsia" w:ascii="仿宋_GB2312" w:hAnsi="仿宋_GB2312" w:eastAsia="仿宋_GB2312" w:cs="仿宋_GB2312"/>
        </w:rPr>
      </w:pPr>
      <w:r>
        <w:rPr>
          <w:rFonts w:hint="eastAsia" w:ascii="仿宋_GB2312" w:hAnsi="仿宋_GB2312" w:eastAsia="仿宋_GB2312" w:cs="仿宋_GB2312"/>
        </w:rPr>
        <w:t>如果由于无法预见并且对其发生和后果无法防止或避免的事件，比如地震、台风、水灾、火灾和其它自然灾害，战争、暴动、重大疫情、罢工等原因（统称“不可抗力事件”），直接致使一方不能按本合同约定的条件全部或部分地履行其在本合同中的义务，遇到上述不可抗力事件的一方（受“阻方”），只要满足所有下列条件，不应被视为违反本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1、受阻方履行其在本合同中的义务时所遇到的停工、障碍或延误，是由于不可抗力事件直接造成的。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2、受阻方已尽其最大的努力履行其在本合同中的义务和减少由于不可抗力事件给另一方或受阻方造成的损失。</w:t>
      </w:r>
    </w:p>
    <w:p>
      <w:pPr>
        <w:spacing w:line="360" w:lineRule="auto"/>
        <w:ind w:firstLine="480" w:firstLineChars="200"/>
        <w:rPr>
          <w:rFonts w:hint="eastAsia" w:ascii="仿宋_GB2312" w:hAnsi="仿宋_GB2312" w:eastAsia="仿宋_GB2312" w:cs="仿宋_GB2312"/>
          <w:spacing w:val="-4"/>
          <w:sz w:val="24"/>
        </w:rPr>
      </w:pPr>
      <w:r>
        <w:rPr>
          <w:rFonts w:hint="eastAsia" w:ascii="仿宋_GB2312" w:hAnsi="仿宋_GB2312" w:eastAsia="仿宋_GB2312" w:cs="仿宋_GB2312"/>
          <w:sz w:val="24"/>
        </w:rPr>
        <w:t>3、</w:t>
      </w:r>
      <w:r>
        <w:rPr>
          <w:rFonts w:hint="eastAsia" w:ascii="仿宋_GB2312" w:hAnsi="仿宋_GB2312" w:eastAsia="仿宋_GB2312" w:cs="仿宋_GB2312"/>
          <w:spacing w:val="-4"/>
          <w:sz w:val="24"/>
        </w:rPr>
        <w:t>不可抗力事件发生时，受阻方立即通知另一方，并在不可抗力事件发生后的15天内提供有关该事件的书面资料，包括陈述延迟履行或部分履行本合同的理由的说明书。</w:t>
      </w:r>
    </w:p>
    <w:p>
      <w:pPr>
        <w:pStyle w:val="5"/>
        <w:rPr>
          <w:rFonts w:hint="eastAsia" w:ascii="仿宋_GB2312" w:hAnsi="仿宋_GB2312" w:eastAsia="仿宋_GB2312" w:cs="仿宋_GB2312"/>
          <w:bCs w:val="0"/>
        </w:rPr>
      </w:pPr>
      <w:r>
        <w:rPr>
          <w:rFonts w:hint="eastAsia" w:ascii="仿宋_GB2312" w:hAnsi="仿宋_GB2312" w:eastAsia="仿宋_GB2312" w:cs="仿宋_GB2312"/>
        </w:rPr>
        <w:t>如果发生不可抗力事件，双方应根据事件对履行本合同的影响，决定是否修改或终止本合同，以及是否部分或全部地免除受阻方在本合同的义务。</w:t>
      </w:r>
    </w:p>
    <w:p>
      <w:pPr>
        <w:pStyle w:val="5"/>
        <w:numPr>
          <w:ilvl w:val="0"/>
          <w:numId w:val="10"/>
        </w:numPr>
        <w:rPr>
          <w:rFonts w:hint="eastAsia" w:ascii="黑体" w:hAnsi="黑体" w:eastAsia="黑体" w:cs="黑体"/>
          <w:bCs w:val="0"/>
        </w:rPr>
      </w:pPr>
      <w:r>
        <w:rPr>
          <w:rFonts w:hint="eastAsia" w:ascii="黑体" w:hAnsi="黑体" w:eastAsia="黑体" w:cs="黑体"/>
          <w:bCs w:val="0"/>
        </w:rPr>
        <w:t>关于合同时效</w:t>
      </w:r>
    </w:p>
    <w:p>
      <w:pPr>
        <w:pStyle w:val="5"/>
        <w:rPr>
          <w:rFonts w:hint="eastAsia" w:ascii="仿宋_GB2312" w:hAnsi="仿宋_GB2312" w:eastAsia="仿宋_GB2312" w:cs="仿宋_GB2312"/>
          <w:spacing w:val="20"/>
        </w:rPr>
      </w:pPr>
      <w:r>
        <w:rPr>
          <w:rFonts w:hint="eastAsia" w:ascii="仿宋_GB2312" w:hAnsi="仿宋_GB2312" w:eastAsia="仿宋_GB2312" w:cs="仿宋_GB2312"/>
        </w:rPr>
        <w:t>本合同期限：</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年</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月</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日至</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年</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月</w:t>
      </w:r>
      <w:r>
        <w:rPr>
          <w:rFonts w:hint="eastAsia" w:ascii="仿宋_GB2312" w:hAnsi="仿宋_GB2312" w:eastAsia="仿宋_GB2312" w:cs="仿宋_GB2312"/>
          <w:spacing w:val="20"/>
          <w:u w:val="single"/>
        </w:rPr>
        <w:t xml:space="preserve">    </w:t>
      </w:r>
      <w:r>
        <w:rPr>
          <w:rFonts w:hint="eastAsia" w:ascii="仿宋_GB2312" w:hAnsi="仿宋_GB2312" w:eastAsia="仿宋_GB2312" w:cs="仿宋_GB2312"/>
          <w:spacing w:val="20"/>
        </w:rPr>
        <w:t xml:space="preserve">日 </w:t>
      </w:r>
    </w:p>
    <w:p>
      <w:pPr>
        <w:pStyle w:val="5"/>
        <w:ind w:firstLine="560"/>
        <w:rPr>
          <w:rFonts w:hint="eastAsia" w:ascii="黑体" w:hAnsi="黑体" w:eastAsia="黑体" w:cs="黑体"/>
          <w:bCs w:val="0"/>
        </w:rPr>
      </w:pPr>
      <w:r>
        <w:rPr>
          <w:rFonts w:hint="eastAsia" w:ascii="仿宋_GB2312" w:hAnsi="仿宋_GB2312" w:eastAsia="仿宋_GB2312" w:cs="仿宋_GB2312"/>
          <w:spacing w:val="20"/>
        </w:rPr>
        <w:t>甲方在合同结束前通知乙方终止合同，如未接到甲方终止合同通知的，视为合同顺延，时间截至甲方再次招标结束。</w:t>
      </w:r>
    </w:p>
    <w:p>
      <w:pPr>
        <w:pStyle w:val="5"/>
        <w:rPr>
          <w:rFonts w:hint="eastAsia" w:ascii="黑体" w:hAnsi="黑体" w:eastAsia="黑体" w:cs="黑体"/>
          <w:bCs w:val="0"/>
        </w:rPr>
      </w:pPr>
      <w:r>
        <w:rPr>
          <w:rFonts w:hint="eastAsia" w:ascii="黑体" w:hAnsi="黑体" w:eastAsia="黑体" w:cs="黑体"/>
          <w:bCs w:val="0"/>
        </w:rPr>
        <w:t>十、合同争议的解决方式</w:t>
      </w:r>
    </w:p>
    <w:p>
      <w:pPr>
        <w:adjustRightInd w:val="0"/>
        <w:snapToGrid w:val="0"/>
        <w:spacing w:line="360" w:lineRule="auto"/>
        <w:ind w:firstLine="454"/>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1、本合同在履行过程中发生的争议，双方应协商解决，协商不成的依法向甲方所在地人民法院起诉。</w:t>
      </w:r>
    </w:p>
    <w:p>
      <w:pPr>
        <w:adjustRightInd w:val="0"/>
        <w:snapToGrid w:val="0"/>
        <w:spacing w:line="360" w:lineRule="auto"/>
        <w:ind w:firstLine="454"/>
        <w:jc w:val="left"/>
        <w:rPr>
          <w:rFonts w:hint="eastAsia"/>
        </w:rPr>
      </w:pPr>
      <w:r>
        <w:rPr>
          <w:rFonts w:hint="eastAsia" w:ascii="仿宋_GB2312" w:hAnsi="仿宋_GB2312" w:eastAsia="仿宋_GB2312" w:cs="仿宋_GB2312"/>
          <w:spacing w:val="4"/>
          <w:sz w:val="24"/>
        </w:rPr>
        <w:t>2、本协议任何条款的变更，修改或者增减，须经双方协商后授权代表签署书面文件，作为本协议的组成部分并具有同等法律效力。</w:t>
      </w:r>
    </w:p>
    <w:p>
      <w:pPr>
        <w:adjustRightInd w:val="0"/>
        <w:snapToGrid w:val="0"/>
        <w:spacing w:line="360" w:lineRule="auto"/>
        <w:ind w:firstLine="454"/>
        <w:jc w:val="left"/>
        <w:rPr>
          <w:rFonts w:hint="eastAsia" w:ascii="黑体" w:hAnsi="黑体" w:eastAsia="黑体" w:cs="黑体"/>
          <w:spacing w:val="4"/>
          <w:sz w:val="24"/>
        </w:rPr>
      </w:pPr>
      <w:r>
        <w:rPr>
          <w:rFonts w:hint="eastAsia" w:ascii="黑体" w:hAnsi="黑体" w:eastAsia="黑体" w:cs="黑体"/>
          <w:spacing w:val="4"/>
          <w:sz w:val="24"/>
        </w:rPr>
        <w:t>十一、附则</w:t>
      </w:r>
    </w:p>
    <w:p>
      <w:pPr>
        <w:adjustRightInd w:val="0"/>
        <w:snapToGrid w:val="0"/>
        <w:spacing w:line="360" w:lineRule="auto"/>
        <w:ind w:firstLine="454"/>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pPr>
        <w:adjustRightInd w:val="0"/>
        <w:snapToGrid w:val="0"/>
        <w:spacing w:line="360" w:lineRule="auto"/>
        <w:ind w:firstLine="454"/>
        <w:jc w:val="left"/>
        <w:rPr>
          <w:rFonts w:ascii="仿宋_GB2312" w:hAnsi="仿宋_GB2312" w:eastAsia="仿宋_GB2312" w:cs="仿宋_GB2312"/>
          <w:spacing w:val="4"/>
          <w:sz w:val="24"/>
        </w:rPr>
      </w:pPr>
      <w:r>
        <w:rPr>
          <w:rFonts w:hint="eastAsia" w:ascii="仿宋_GB2312" w:hAnsi="仿宋_GB2312" w:eastAsia="仿宋_GB2312" w:cs="仿宋_GB2312"/>
          <w:sz w:val="24"/>
        </w:rPr>
        <w:t>本合同一式肆份，甲方执叁份，乙方执壹份。双方代表签字，双方盖章后生效。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4"/>
          <w:sz w:val="24"/>
        </w:rPr>
        <w:t xml:space="preserve"> </w:t>
      </w:r>
    </w:p>
    <w:p>
      <w:pPr>
        <w:spacing w:line="520" w:lineRule="exact"/>
        <w:ind w:left="6448" w:hanging="6448" w:hangingChars="2600"/>
        <w:rPr>
          <w:rFonts w:hint="eastAsia" w:ascii="仿宋_GB2312" w:hAnsi="仿宋_GB2312" w:eastAsia="仿宋_GB2312" w:cs="仿宋_GB2312"/>
          <w:spacing w:val="4"/>
          <w:sz w:val="18"/>
          <w:szCs w:val="18"/>
        </w:rPr>
      </w:pPr>
      <w:r>
        <w:rPr>
          <w:rFonts w:hint="eastAsia" w:ascii="仿宋_GB2312" w:hAnsi="仿宋_GB2312" w:eastAsia="仿宋_GB2312" w:cs="仿宋_GB2312"/>
          <w:spacing w:val="4"/>
          <w:sz w:val="24"/>
        </w:rPr>
        <w:t>需方（甲方）：</w:t>
      </w:r>
      <w:r>
        <w:rPr>
          <w:rFonts w:hint="eastAsia" w:ascii="黑体" w:hAnsi="黑体" w:eastAsia="黑体" w:cs="黑体"/>
          <w:spacing w:val="4"/>
          <w:szCs w:val="21"/>
        </w:rPr>
        <w:t>新郑市公立人民医院</w:t>
      </w:r>
      <w:r>
        <w:rPr>
          <w:rFonts w:hint="eastAsia" w:ascii="仿宋_GB2312" w:hAnsi="仿宋_GB2312" w:eastAsia="仿宋_GB2312" w:cs="仿宋_GB2312"/>
          <w:spacing w:val="4"/>
          <w:szCs w:val="21"/>
        </w:rPr>
        <w:t xml:space="preserve"> </w:t>
      </w:r>
      <w:r>
        <w:rPr>
          <w:rFonts w:hint="eastAsia" w:ascii="仿宋_GB2312" w:hAnsi="仿宋_GB2312" w:eastAsia="仿宋_GB2312" w:cs="仿宋_GB2312"/>
          <w:spacing w:val="4"/>
          <w:sz w:val="24"/>
        </w:rPr>
        <w:t xml:space="preserve">  供货商（乙方）：</w:t>
      </w:r>
    </w:p>
    <w:p>
      <w:pPr>
        <w:spacing w:line="52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(盖章)：                         (盖章)：</w:t>
      </w:r>
    </w:p>
    <w:p>
      <w:pPr>
        <w:spacing w:line="520" w:lineRule="exact"/>
        <w:ind w:left="5952" w:hanging="5952" w:hangingChars="2400"/>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 xml:space="preserve">                                  开  户  行：</w:t>
      </w:r>
    </w:p>
    <w:p>
      <w:pPr>
        <w:spacing w:line="52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 xml:space="preserve">                                  账  号：     </w:t>
      </w:r>
    </w:p>
    <w:p>
      <w:pPr>
        <w:spacing w:line="52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法人或委托代理人（签字）：          法人或委托代理人（签字）：</w:t>
      </w:r>
    </w:p>
    <w:p>
      <w:pPr>
        <w:ind w:firstLine="2480" w:firstLineChars="1000"/>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 xml:space="preserve">        </w:t>
      </w:r>
    </w:p>
    <w:p>
      <w:pPr>
        <w:pStyle w:val="2"/>
        <w:rPr>
          <w:rFonts w:hint="eastAsia"/>
        </w:rPr>
      </w:pPr>
    </w:p>
    <w:p>
      <w:pPr>
        <w:ind w:firstLine="3968" w:firstLineChars="1600"/>
        <w:rPr>
          <w:rFonts w:hint="eastAsia" w:ascii="仿宋" w:hAnsi="仿宋" w:eastAsia="仿宋" w:cs="仿宋"/>
          <w:spacing w:val="4"/>
          <w:sz w:val="24"/>
        </w:rPr>
      </w:pPr>
      <w:r>
        <w:rPr>
          <w:rFonts w:hint="eastAsia" w:ascii="仿宋_GB2312" w:hAnsi="仿宋_GB2312" w:eastAsia="仿宋_GB2312" w:cs="仿宋_GB2312"/>
          <w:spacing w:val="4"/>
          <w:sz w:val="24"/>
        </w:rPr>
        <w:t xml:space="preserve">   签订日期：      年     月     日</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jc w:val="center"/>
        <w:rPr>
          <w:rFonts w:ascii="黑体" w:hAnsi="黑体" w:eastAsia="黑体" w:cs="黑体"/>
          <w:sz w:val="32"/>
          <w:szCs w:val="32"/>
        </w:rPr>
      </w:pPr>
      <w:bookmarkStart w:id="15" w:name="_GoBack"/>
      <w:bookmarkEnd w:id="15"/>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3"/>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存储软件著作权登记证书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w:t>
      </w:r>
      <w:r>
        <w:rPr>
          <w:rFonts w:hint="eastAsia" w:ascii="仿宋_GB2312" w:eastAsia="仿宋_GB2312"/>
          <w:color w:val="000000"/>
          <w:sz w:val="28"/>
          <w:szCs w:val="28"/>
          <w:lang w:eastAsia="zh-CN"/>
        </w:rPr>
        <w:t>；</w:t>
      </w:r>
      <w:r>
        <w:rPr>
          <w:rFonts w:hint="eastAsia" w:ascii="仿宋_GB2312" w:eastAsia="仿宋_GB2312"/>
          <w:color w:val="000000"/>
          <w:sz w:val="28"/>
          <w:szCs w:val="28"/>
        </w:rPr>
        <w:t>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48896063"/>
      <w:bookmarkStart w:id="5" w:name="_Toc304219257"/>
      <w:bookmarkStart w:id="6" w:name="_Toc15313"/>
      <w:bookmarkStart w:id="7" w:name="_Toc9548"/>
      <w:bookmarkStart w:id="8" w:name="_Toc320878640"/>
      <w:bookmarkStart w:id="9" w:name="_Toc261708863"/>
      <w:bookmarkStart w:id="10" w:name="_Toc219626747"/>
      <w:bookmarkStart w:id="11" w:name="_Toc258360269"/>
      <w:bookmarkStart w:id="12" w:name="_Toc10762"/>
      <w:bookmarkStart w:id="13" w:name="_Toc25833363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270" w:right="1800" w:bottom="127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8510D"/>
    <w:multiLevelType w:val="singleLevel"/>
    <w:tmpl w:val="8998510D"/>
    <w:lvl w:ilvl="0" w:tentative="0">
      <w:start w:val="9"/>
      <w:numFmt w:val="chineseCounting"/>
      <w:suff w:val="space"/>
      <w:lvlText w:val="%1、"/>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9C1675C7"/>
    <w:multiLevelType w:val="singleLevel"/>
    <w:tmpl w:val="9C1675C7"/>
    <w:lvl w:ilvl="0" w:tentative="0">
      <w:start w:val="1"/>
      <w:numFmt w:val="decimal"/>
      <w:suff w:val="nothing"/>
      <w:lvlText w:val="%1、"/>
      <w:lvlJc w:val="left"/>
    </w:lvl>
  </w:abstractNum>
  <w:abstractNum w:abstractNumId="3">
    <w:nsid w:val="A918451E"/>
    <w:multiLevelType w:val="singleLevel"/>
    <w:tmpl w:val="A918451E"/>
    <w:lvl w:ilvl="0" w:tentative="0">
      <w:start w:val="1"/>
      <w:numFmt w:val="decimal"/>
      <w:lvlText w:val="%1."/>
      <w:lvlJc w:val="left"/>
      <w:pPr>
        <w:tabs>
          <w:tab w:val="left" w:pos="312"/>
        </w:tabs>
      </w:pPr>
    </w:lvl>
  </w:abstractNum>
  <w:abstractNum w:abstractNumId="4">
    <w:nsid w:val="B1716B34"/>
    <w:multiLevelType w:val="singleLevel"/>
    <w:tmpl w:val="B1716B34"/>
    <w:lvl w:ilvl="0" w:tentative="0">
      <w:start w:val="5"/>
      <w:numFmt w:val="chineseCounting"/>
      <w:suff w:val="nothing"/>
      <w:lvlText w:val="%1、"/>
      <w:lvlJc w:val="left"/>
      <w:rPr>
        <w:rFonts w:hint="eastAsia"/>
      </w:rPr>
    </w:lvl>
  </w:abstractNum>
  <w:abstractNum w:abstractNumId="5">
    <w:nsid w:val="C035F6DB"/>
    <w:multiLevelType w:val="singleLevel"/>
    <w:tmpl w:val="C035F6DB"/>
    <w:lvl w:ilvl="0" w:tentative="0">
      <w:start w:val="2"/>
      <w:numFmt w:val="chineseCounting"/>
      <w:suff w:val="nothing"/>
      <w:lvlText w:val="%1、"/>
      <w:lvlJc w:val="left"/>
      <w:rPr>
        <w:rFonts w:hint="eastAsia"/>
      </w:rPr>
    </w:lvl>
  </w:abstractNum>
  <w:abstractNum w:abstractNumId="6">
    <w:nsid w:val="D109BA4C"/>
    <w:multiLevelType w:val="singleLevel"/>
    <w:tmpl w:val="D109BA4C"/>
    <w:lvl w:ilvl="0" w:tentative="0">
      <w:start w:val="1"/>
      <w:numFmt w:val="chineseCounting"/>
      <w:suff w:val="space"/>
      <w:lvlText w:val="第%1章"/>
      <w:lvlJc w:val="left"/>
      <w:rPr>
        <w:rFonts w:hint="eastAsia"/>
      </w:rPr>
    </w:lvl>
  </w:abstractNum>
  <w:abstractNum w:abstractNumId="7">
    <w:nsid w:val="F5F59E80"/>
    <w:multiLevelType w:val="singleLevel"/>
    <w:tmpl w:val="F5F59E80"/>
    <w:lvl w:ilvl="0" w:tentative="0">
      <w:start w:val="1"/>
      <w:numFmt w:val="decimal"/>
      <w:suff w:val="space"/>
      <w:lvlText w:val="%1."/>
      <w:lvlJc w:val="left"/>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8"/>
  </w:num>
  <w:num w:numId="2">
    <w:abstractNumId w:val="9"/>
  </w:num>
  <w:num w:numId="3">
    <w:abstractNumId w:val="6"/>
  </w:num>
  <w:num w:numId="4">
    <w:abstractNumId w:val="5"/>
  </w:num>
  <w:num w:numId="5">
    <w:abstractNumId w:val="1"/>
  </w:num>
  <w:num w:numId="6">
    <w:abstractNumId w:val="7"/>
  </w:num>
  <w:num w:numId="7">
    <w:abstractNumId w:val="3"/>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0136D1"/>
    <w:rsid w:val="03C05FE9"/>
    <w:rsid w:val="041C0681"/>
    <w:rsid w:val="06AB0CBE"/>
    <w:rsid w:val="07115D57"/>
    <w:rsid w:val="071B2990"/>
    <w:rsid w:val="08492771"/>
    <w:rsid w:val="08B25A56"/>
    <w:rsid w:val="091E4C98"/>
    <w:rsid w:val="09984B6B"/>
    <w:rsid w:val="09AA6B2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6AE3C18"/>
    <w:rsid w:val="278100C0"/>
    <w:rsid w:val="288B4898"/>
    <w:rsid w:val="2A7E0BB7"/>
    <w:rsid w:val="2B0A7B44"/>
    <w:rsid w:val="2C1B12D4"/>
    <w:rsid w:val="2ED21247"/>
    <w:rsid w:val="2EF714BA"/>
    <w:rsid w:val="2F632DBF"/>
    <w:rsid w:val="30217C48"/>
    <w:rsid w:val="31384F13"/>
    <w:rsid w:val="31827FC3"/>
    <w:rsid w:val="32367AE2"/>
    <w:rsid w:val="33F956F6"/>
    <w:rsid w:val="35235DD9"/>
    <w:rsid w:val="35803DCD"/>
    <w:rsid w:val="359022EB"/>
    <w:rsid w:val="3689576E"/>
    <w:rsid w:val="384A7AD5"/>
    <w:rsid w:val="38F87582"/>
    <w:rsid w:val="3AD243FA"/>
    <w:rsid w:val="3B2A4846"/>
    <w:rsid w:val="3B5373B6"/>
    <w:rsid w:val="3C8F1C55"/>
    <w:rsid w:val="3CCF593D"/>
    <w:rsid w:val="3DA0606C"/>
    <w:rsid w:val="3EDC78BB"/>
    <w:rsid w:val="3EEB7664"/>
    <w:rsid w:val="44504B88"/>
    <w:rsid w:val="44B67130"/>
    <w:rsid w:val="456841B6"/>
    <w:rsid w:val="4656733B"/>
    <w:rsid w:val="46BB2C0A"/>
    <w:rsid w:val="47552A75"/>
    <w:rsid w:val="486D7AF7"/>
    <w:rsid w:val="494804BB"/>
    <w:rsid w:val="4A2A20B9"/>
    <w:rsid w:val="4AAE7F9D"/>
    <w:rsid w:val="4B4638AD"/>
    <w:rsid w:val="4B9C1C97"/>
    <w:rsid w:val="4BC500AA"/>
    <w:rsid w:val="4FCE5CD6"/>
    <w:rsid w:val="514F77D3"/>
    <w:rsid w:val="53501B3C"/>
    <w:rsid w:val="550B217C"/>
    <w:rsid w:val="563E288F"/>
    <w:rsid w:val="57162389"/>
    <w:rsid w:val="57575861"/>
    <w:rsid w:val="5AD50E25"/>
    <w:rsid w:val="5C4D75EE"/>
    <w:rsid w:val="5CEA2A63"/>
    <w:rsid w:val="5D327E39"/>
    <w:rsid w:val="5D4D3632"/>
    <w:rsid w:val="5ED90E8F"/>
    <w:rsid w:val="615523A0"/>
    <w:rsid w:val="649D2897"/>
    <w:rsid w:val="64BF3E0B"/>
    <w:rsid w:val="64E26821"/>
    <w:rsid w:val="64EB4CF4"/>
    <w:rsid w:val="65207F71"/>
    <w:rsid w:val="66016CC0"/>
    <w:rsid w:val="695C7637"/>
    <w:rsid w:val="6A67750E"/>
    <w:rsid w:val="6CD8518D"/>
    <w:rsid w:val="6ECA7999"/>
    <w:rsid w:val="6F8E4227"/>
    <w:rsid w:val="70E04A7D"/>
    <w:rsid w:val="70F03E6A"/>
    <w:rsid w:val="71B367CA"/>
    <w:rsid w:val="745F5922"/>
    <w:rsid w:val="76F4676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3">
    <w:name w:val="annotation text"/>
    <w:basedOn w:val="1"/>
    <w:qFormat/>
    <w:uiPriority w:val="0"/>
    <w:pPr>
      <w:jc w:val="left"/>
    </w:pPr>
  </w:style>
  <w:style w:type="paragraph" w:styleId="4">
    <w:name w:val="Body Text Indent"/>
    <w:basedOn w:val="1"/>
    <w:qFormat/>
    <w:uiPriority w:val="0"/>
    <w:pPr>
      <w:spacing w:line="360" w:lineRule="exact"/>
      <w:ind w:firstLine="480" w:firstLineChars="200"/>
    </w:pPr>
    <w:rPr>
      <w:rFonts w:ascii="宋体" w:hAnsi="宋体"/>
      <w:sz w:val="24"/>
    </w:rPr>
  </w:style>
  <w:style w:type="paragraph" w:styleId="5">
    <w:name w:val="Body Text Indent 2"/>
    <w:basedOn w:val="1"/>
    <w:qFormat/>
    <w:uiPriority w:val="0"/>
    <w:pPr>
      <w:spacing w:line="360" w:lineRule="auto"/>
      <w:ind w:firstLine="480" w:firstLineChars="200"/>
    </w:pPr>
    <w:rPr>
      <w:rFonts w:eastAsia="楷体_GB2312"/>
      <w:bCs/>
      <w:sz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9"/>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2021-12-13T14:23:21Z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F33B4DCF8C76488C820B43E0CF106C28</vt:lpwstr>
  </property>
</Properties>
</file>