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心电监护仪、空气波压力治疗仪采购</w:t>
      </w:r>
      <w:r>
        <w:rPr>
          <w:rFonts w:hint="eastAsia" w:ascii="黑体" w:hAnsi="黑体" w:eastAsia="黑体" w:cs="黑体"/>
          <w:sz w:val="52"/>
          <w:szCs w:val="52"/>
          <w:lang w:eastAsia="zh-CN"/>
        </w:rPr>
        <w:t>项目询价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2021年11月17日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心电监护仪、空气波压力治疗仪采购项目，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心电监护仪、空气波压力治疗仪采购项目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355"/>
        <w:gridCol w:w="23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年度计划序号</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both"/>
              <w:rPr>
                <w:rFonts w:hint="eastAsia" w:ascii="仿宋" w:hAnsi="仿宋" w:eastAsia="仿宋" w:cs="仿宋"/>
                <w:b w:val="0"/>
                <w:bCs w:val="0"/>
                <w:color w:val="FF0000"/>
                <w:sz w:val="21"/>
                <w:szCs w:val="21"/>
                <w:u w:val="single"/>
              </w:rPr>
            </w:pPr>
          </w:p>
        </w:tc>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设备名称</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u w:val="single"/>
              </w:rPr>
            </w:pPr>
            <w:r>
              <w:rPr>
                <w:rFonts w:hint="eastAsia" w:ascii="仿宋" w:hAnsi="仿宋" w:eastAsia="仿宋" w:cs="仿宋"/>
                <w:b w:val="0"/>
                <w:bCs w:val="0"/>
                <w:sz w:val="21"/>
                <w:szCs w:val="21"/>
                <w:u w:val="single"/>
              </w:rPr>
              <w:t>空气波压力治疗仪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质量层次</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both"/>
              <w:rPr>
                <w:rFonts w:hint="eastAsia" w:ascii="仿宋" w:hAnsi="仿宋" w:eastAsia="仿宋" w:cs="仿宋"/>
                <w:b w:val="0"/>
                <w:bCs w:val="0"/>
                <w:sz w:val="21"/>
                <w:szCs w:val="21"/>
                <w:u w:val="single"/>
              </w:rPr>
            </w:pPr>
            <w:r>
              <w:rPr>
                <w:rFonts w:hint="eastAsia" w:ascii="仿宋" w:hAnsi="仿宋" w:eastAsia="仿宋" w:cs="仿宋"/>
                <w:b w:val="0"/>
                <w:bCs w:val="0"/>
                <w:sz w:val="21"/>
                <w:szCs w:val="21"/>
                <w:u w:val="single"/>
              </w:rPr>
              <w:t>国产</w:t>
            </w:r>
          </w:p>
        </w:tc>
        <w:tc>
          <w:tcPr>
            <w:tcW w:w="235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rPr>
              <w:t>数量</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color w:val="FF0000"/>
                <w:sz w:val="21"/>
                <w:szCs w:val="21"/>
              </w:rPr>
            </w:pPr>
            <w:r>
              <w:rPr>
                <w:rFonts w:hint="eastAsia" w:ascii="仿宋" w:hAnsi="仿宋" w:eastAsia="仿宋" w:cs="仿宋"/>
                <w:b w:val="0"/>
                <w:bCs w:val="0"/>
                <w:color w:val="FF0000"/>
                <w:sz w:val="21"/>
                <w:szCs w:val="21"/>
                <w:lang w:val="en-US" w:eastAsia="zh-CN"/>
              </w:rPr>
              <w:t>3</w:t>
            </w:r>
            <w:r>
              <w:rPr>
                <w:rFonts w:hint="eastAsia" w:ascii="仿宋" w:hAnsi="仿宋" w:eastAsia="仿宋" w:cs="仿宋"/>
                <w:b w:val="0"/>
                <w:bCs w:val="0"/>
                <w:color w:val="FF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设备配置要求及用途：促进血液及淋巴的回流，有助于预防血栓的形成、预防肢体水肿。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1、压力模式：≥1 种压力模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、定时：0～30min可调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、压力范围：5.33～20.00kPa(40～150 mmHg)可调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lang w:eastAsia="zh-CN"/>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、气囊腔数：≥</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 xml:space="preserve"> 腔</w:t>
            </w:r>
            <w:r>
              <w:rPr>
                <w:rFonts w:hint="eastAsia" w:ascii="仿宋" w:hAnsi="仿宋" w:eastAsia="仿宋" w:cs="仿宋"/>
                <w:b w:val="0"/>
                <w:bCs w:val="0"/>
                <w:sz w:val="21"/>
                <w:szCs w:val="21"/>
                <w:lang w:eastAsia="zh-CN"/>
              </w:rPr>
              <w:t>，腿套可包裹大小腿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、可同时治疗两个肢体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、充气压力、时间可调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、抗压气囊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、防电磁波干扰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lang w:val="en-US" w:eastAsia="zh-CN"/>
              </w:rPr>
              <w:t>9</w:t>
            </w:r>
            <w:r>
              <w:rPr>
                <w:rFonts w:hint="eastAsia" w:ascii="仿宋" w:hAnsi="仿宋" w:eastAsia="仿宋" w:cs="仿宋"/>
                <w:b w:val="0"/>
                <w:bCs w:val="0"/>
                <w:sz w:val="21"/>
                <w:szCs w:val="21"/>
              </w:rPr>
              <w:t>、具有空气滤清除功能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、具有医疗器械注册证及注册登记表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both"/>
              <w:rPr>
                <w:rFonts w:hint="eastAsia" w:ascii="仿宋" w:hAnsi="仿宋" w:eastAsia="仿宋" w:cs="仿宋"/>
                <w:b w:val="0"/>
                <w:bCs w:val="0"/>
                <w:kern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、产品具有（NQA）CE 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12</w:t>
            </w:r>
            <w:r>
              <w:rPr>
                <w:rFonts w:hint="eastAsia" w:ascii="仿宋" w:hAnsi="仿宋" w:eastAsia="仿宋" w:cs="仿宋"/>
                <w:b w:val="0"/>
                <w:bCs w:val="0"/>
                <w:sz w:val="21"/>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.2保修期内的开机率：投标方保证开机率9</w:t>
            </w: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.4设备免费原厂保修期3年；质保期过后厂家免费维修，不换配件不收费。每半年免费保养一次。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4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12.7提供操作手册和维修手册</w:t>
            </w:r>
          </w:p>
        </w:tc>
      </w:tr>
    </w:tbl>
    <w:p>
      <w:pPr>
        <w:rPr>
          <w:rFonts w:hint="eastAsia"/>
          <w:sz w:val="28"/>
          <w:szCs w:val="28"/>
        </w:rPr>
      </w:pPr>
      <w:r>
        <w:rPr>
          <w:rFonts w:hint="eastAsia"/>
          <w:sz w:val="28"/>
          <w:szCs w:val="28"/>
        </w:rPr>
        <w:t>产品配置清单：</w:t>
      </w:r>
    </w:p>
    <w:tbl>
      <w:tblPr>
        <w:tblStyle w:val="11"/>
        <w:tblW w:w="7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3950" w:type="dxa"/>
            <w:noWrap w:val="0"/>
            <w:vAlign w:val="top"/>
          </w:tcPr>
          <w:p>
            <w:pPr>
              <w:jc w:val="center"/>
              <w:rPr>
                <w:rFonts w:hint="eastAsia"/>
                <w:sz w:val="28"/>
                <w:szCs w:val="28"/>
              </w:rPr>
            </w:pPr>
            <w:r>
              <w:rPr>
                <w:rFonts w:hint="eastAsia"/>
                <w:sz w:val="28"/>
                <w:szCs w:val="28"/>
              </w:rPr>
              <w:t>产品配置清单</w:t>
            </w:r>
          </w:p>
        </w:tc>
        <w:tc>
          <w:tcPr>
            <w:tcW w:w="3950"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395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主机</w:t>
            </w:r>
          </w:p>
        </w:tc>
        <w:tc>
          <w:tcPr>
            <w:tcW w:w="395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395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腿套</w:t>
            </w:r>
          </w:p>
        </w:tc>
        <w:tc>
          <w:tcPr>
            <w:tcW w:w="395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4条</w:t>
            </w:r>
          </w:p>
        </w:tc>
      </w:tr>
    </w:tbl>
    <w:tbl>
      <w:tblPr>
        <w:tblStyle w:val="11"/>
        <w:tblpPr w:leftFromText="180" w:rightFromText="180" w:vertAnchor="text" w:horzAnchor="page" w:tblpX="1537" w:tblpY="368"/>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270"/>
        <w:gridCol w:w="227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szCs w:val="21"/>
                <w:u w:val="single"/>
                <w:lang w:eastAsia="zh-CN"/>
              </w:rPr>
            </w:pPr>
            <w:r>
              <w:rPr>
                <w:rFonts w:hint="eastAsia" w:ascii="仿宋_GB2312" w:hAnsi="宋体" w:eastAsia="仿宋_GB2312"/>
                <w:b/>
                <w:bCs/>
                <w:color w:val="FF0000"/>
                <w:szCs w:val="21"/>
                <w:u w:val="single"/>
                <w:lang w:eastAsia="zh-CN"/>
              </w:rPr>
              <w:t>病人监护仪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lang w:val="en-US" w:eastAsia="zh-CN"/>
              </w:rPr>
            </w:pPr>
            <w:r>
              <w:rPr>
                <w:rFonts w:hint="eastAsia" w:ascii="仿宋_GB2312" w:hAnsi="宋体" w:eastAsia="仿宋_GB2312"/>
                <w:b/>
                <w:bCs/>
                <w:color w:val="FF0000"/>
              </w:rPr>
              <w:t>国产</w:t>
            </w:r>
          </w:p>
        </w:tc>
        <w:tc>
          <w:tcPr>
            <w:tcW w:w="2270"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lang w:val="en-US" w:eastAsia="zh-CN"/>
              </w:rPr>
            </w:pPr>
            <w:r>
              <w:rPr>
                <w:rFonts w:hint="eastAsia" w:ascii="仿宋_GB2312" w:hAnsi="宋体" w:eastAsia="仿宋_GB2312"/>
                <w:b/>
                <w:bCs/>
                <w:color w:val="FF0000"/>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kern w:val="0"/>
                <w:sz w:val="24"/>
                <w:szCs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总体要求：监护仪有效期（设计寿命）≥8年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机型：插件式监护仪；适用于成人、小儿、新生儿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显示器：≥</w:t>
            </w:r>
            <w:r>
              <w:rPr>
                <w:rFonts w:hint="eastAsia" w:ascii="仿宋" w:hAnsi="仿宋" w:eastAsia="仿宋" w:cs="仿宋"/>
                <w:sz w:val="21"/>
                <w:szCs w:val="21"/>
                <w:lang w:val="en-US"/>
              </w:rPr>
              <w:t>8</w:t>
            </w:r>
            <w:r>
              <w:rPr>
                <w:rFonts w:hint="eastAsia" w:ascii="仿宋" w:hAnsi="仿宋" w:eastAsia="仿宋" w:cs="仿宋"/>
                <w:sz w:val="21"/>
                <w:szCs w:val="21"/>
              </w:rPr>
              <w:t>英寸LED彩色显示屏，分辨率≥800×600；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监测参数要求：心电、无创血压、血氧饱和度、呼吸、脉搏、体温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4</w:t>
            </w:r>
            <w:r>
              <w:rPr>
                <w:rFonts w:hint="eastAsia" w:ascii="仿宋" w:hAnsi="仿宋" w:eastAsia="仿宋" w:cs="仿宋"/>
                <w:sz w:val="21"/>
                <w:szCs w:val="21"/>
              </w:rPr>
              <w:tab/>
            </w:r>
            <w:r>
              <w:rPr>
                <w:rFonts w:hint="eastAsia" w:ascii="仿宋" w:hAnsi="仿宋" w:eastAsia="仿宋" w:cs="仿宋"/>
                <w:sz w:val="21"/>
                <w:szCs w:val="21"/>
              </w:rPr>
              <w:t>可升级选配参数要求：有创压、脉搏血压变异率（PPV）、呼吸末二氧化碳监测、热稀释法心排量、AG模块（带氧/不带氧）、RM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*5</w:t>
            </w:r>
            <w:r>
              <w:rPr>
                <w:rFonts w:hint="eastAsia" w:ascii="仿宋" w:hAnsi="仿宋" w:eastAsia="仿宋" w:cs="仿宋"/>
                <w:sz w:val="21"/>
                <w:szCs w:val="21"/>
              </w:rPr>
              <w:tab/>
            </w:r>
            <w:r>
              <w:rPr>
                <w:rFonts w:hint="eastAsia" w:ascii="仿宋" w:hAnsi="仿宋" w:eastAsia="仿宋" w:cs="仿宋"/>
                <w:sz w:val="21"/>
                <w:szCs w:val="21"/>
              </w:rPr>
              <w:t>具有抗电刀、抗除颤干扰能力；ECG，Resp，Temp，NIBP，SpO2参数全部满足CF抗除颤标准参数，并提供证明文件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rPr>
              <w:tab/>
            </w:r>
            <w:r>
              <w:rPr>
                <w:rFonts w:hint="eastAsia" w:ascii="仿宋" w:hAnsi="仿宋" w:eastAsia="仿宋" w:cs="仿宋"/>
                <w:sz w:val="21"/>
                <w:szCs w:val="21"/>
              </w:rPr>
              <w:t>心电：</w:t>
            </w:r>
            <w:r>
              <w:rPr>
                <w:rFonts w:hint="eastAsia" w:ascii="仿宋" w:hAnsi="仿宋" w:eastAsia="仿宋" w:cs="仿宋"/>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6.1</w:t>
            </w:r>
            <w:r>
              <w:rPr>
                <w:rFonts w:hint="eastAsia" w:ascii="仿宋" w:hAnsi="仿宋" w:eastAsia="仿宋" w:cs="仿宋"/>
                <w:sz w:val="21"/>
                <w:szCs w:val="21"/>
              </w:rPr>
              <w:tab/>
            </w:r>
            <w:r>
              <w:rPr>
                <w:rFonts w:hint="eastAsia" w:ascii="仿宋" w:hAnsi="仿宋" w:eastAsia="仿宋" w:cs="仿宋"/>
                <w:sz w:val="21"/>
                <w:szCs w:val="21"/>
              </w:rPr>
              <w:t>导联模式：3或5导联，可升级12导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6.2</w:t>
            </w:r>
            <w:r>
              <w:rPr>
                <w:rFonts w:hint="eastAsia" w:ascii="仿宋" w:hAnsi="仿宋" w:eastAsia="仿宋" w:cs="仿宋"/>
                <w:sz w:val="21"/>
                <w:szCs w:val="21"/>
              </w:rPr>
              <w:tab/>
            </w:r>
            <w:r>
              <w:rPr>
                <w:rFonts w:hint="eastAsia" w:ascii="仿宋" w:hAnsi="仿宋" w:eastAsia="仿宋" w:cs="仿宋"/>
                <w:sz w:val="21"/>
                <w:szCs w:val="21"/>
              </w:rPr>
              <w:t>智能脱落监测：可以智能化监测导联线是否脱落，进行提示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6.3</w:t>
            </w:r>
            <w:r>
              <w:rPr>
                <w:rFonts w:hint="eastAsia" w:ascii="仿宋" w:hAnsi="仿宋" w:eastAsia="仿宋" w:cs="仿宋"/>
                <w:sz w:val="21"/>
                <w:szCs w:val="21"/>
              </w:rPr>
              <w:tab/>
            </w:r>
            <w:r>
              <w:rPr>
                <w:rFonts w:hint="eastAsia" w:ascii="仿宋" w:hAnsi="仿宋" w:eastAsia="仿宋" w:cs="仿宋"/>
                <w:sz w:val="21"/>
                <w:szCs w:val="21"/>
              </w:rPr>
              <w:t>滤波方式：诊断、监护、ST、手术等滤波方式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6.4</w:t>
            </w:r>
            <w:r>
              <w:rPr>
                <w:rFonts w:hint="eastAsia" w:ascii="仿宋" w:hAnsi="仿宋" w:eastAsia="仿宋" w:cs="仿宋"/>
                <w:sz w:val="21"/>
                <w:szCs w:val="21"/>
              </w:rPr>
              <w:tab/>
            </w:r>
            <w:r>
              <w:rPr>
                <w:rFonts w:hint="eastAsia" w:ascii="仿宋" w:hAnsi="仿宋" w:eastAsia="仿宋" w:cs="仿宋"/>
                <w:sz w:val="21"/>
                <w:szCs w:val="21"/>
              </w:rPr>
              <w:t>心电分析：≥18种实时心律失常自动分析，提供证明文件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7</w:t>
            </w:r>
            <w:r>
              <w:rPr>
                <w:rFonts w:hint="eastAsia" w:ascii="仿宋" w:hAnsi="仿宋" w:eastAsia="仿宋" w:cs="仿宋"/>
                <w:sz w:val="21"/>
                <w:szCs w:val="21"/>
              </w:rPr>
              <w:tab/>
            </w:r>
            <w:r>
              <w:rPr>
                <w:rFonts w:hint="eastAsia" w:ascii="仿宋" w:hAnsi="仿宋" w:eastAsia="仿宋" w:cs="仿宋"/>
                <w:sz w:val="21"/>
                <w:szCs w:val="21"/>
              </w:rPr>
              <w:t>无创血压测量范围：成人10-250mmHg，小儿10-200mmHg；新生儿10-135mmHg，分辨率1mmHg；测量精确度：5±mmHg；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*7.1</w:t>
            </w:r>
            <w:r>
              <w:rPr>
                <w:rFonts w:hint="eastAsia" w:ascii="仿宋" w:hAnsi="仿宋" w:eastAsia="仿宋" w:cs="仿宋"/>
                <w:sz w:val="21"/>
                <w:szCs w:val="21"/>
              </w:rPr>
              <w:tab/>
            </w:r>
            <w:r>
              <w:rPr>
                <w:rFonts w:hint="eastAsia" w:ascii="仿宋" w:hAnsi="仿宋" w:eastAsia="仿宋" w:cs="仿宋"/>
                <w:sz w:val="21"/>
                <w:szCs w:val="21"/>
              </w:rPr>
              <w:t>血压测量模式：具备手动、自动、连续、序列测量模式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7.2无创血压测量适用于成人，小儿，新生儿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rPr>
              <w:tab/>
            </w:r>
            <w:r>
              <w:rPr>
                <w:rFonts w:hint="eastAsia" w:ascii="仿宋" w:hAnsi="仿宋" w:eastAsia="仿宋" w:cs="仿宋"/>
                <w:sz w:val="21"/>
                <w:szCs w:val="21"/>
              </w:rPr>
              <w:t>血氧饱和度：采用主机同品牌血氧技术, 兼容性好，可显示PI血氧灌注指数，有效反映血氧灌注情况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rPr>
              <w:tab/>
            </w:r>
            <w:r>
              <w:rPr>
                <w:rFonts w:hint="eastAsia" w:ascii="仿宋" w:hAnsi="仿宋" w:eastAsia="仿宋" w:cs="仿宋"/>
                <w:sz w:val="21"/>
                <w:szCs w:val="21"/>
              </w:rPr>
              <w:t>脉搏测量范围：20—250bpm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z w:val="21"/>
                <w:szCs w:val="21"/>
              </w:rPr>
              <w:tab/>
            </w:r>
            <w:r>
              <w:rPr>
                <w:rFonts w:hint="eastAsia" w:ascii="仿宋" w:hAnsi="仿宋" w:eastAsia="仿宋" w:cs="仿宋"/>
                <w:sz w:val="21"/>
                <w:szCs w:val="21"/>
              </w:rPr>
              <w:t>具有监护模式：具备体外循环模式，提供证明文件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11</w:t>
            </w:r>
            <w:r>
              <w:rPr>
                <w:rFonts w:hint="eastAsia" w:ascii="仿宋" w:hAnsi="仿宋" w:eastAsia="仿宋" w:cs="仿宋"/>
                <w:sz w:val="21"/>
                <w:szCs w:val="21"/>
              </w:rPr>
              <w:tab/>
            </w:r>
            <w:r>
              <w:rPr>
                <w:rFonts w:hint="eastAsia" w:ascii="仿宋" w:hAnsi="仿宋" w:eastAsia="仿宋" w:cs="仿宋"/>
                <w:sz w:val="21"/>
                <w:szCs w:val="21"/>
              </w:rPr>
              <w:t>配置管理：具备通用、ICU、NICU和CCU等科室配置模式自由选择；提供用户自定义配置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12</w:t>
            </w:r>
            <w:r>
              <w:rPr>
                <w:rFonts w:hint="eastAsia" w:ascii="仿宋" w:hAnsi="仿宋" w:eastAsia="仿宋" w:cs="仿宋"/>
                <w:sz w:val="21"/>
                <w:szCs w:val="21"/>
              </w:rPr>
              <w:tab/>
            </w:r>
            <w:r>
              <w:rPr>
                <w:rFonts w:hint="eastAsia" w:ascii="仿宋" w:hAnsi="仿宋" w:eastAsia="仿宋" w:cs="仿宋"/>
                <w:sz w:val="21"/>
                <w:szCs w:val="21"/>
              </w:rPr>
              <w:t>全息波形：全参数全息波形≥45小时回顾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13</w:t>
            </w:r>
            <w:r>
              <w:rPr>
                <w:rFonts w:hint="eastAsia" w:ascii="仿宋" w:hAnsi="仿宋" w:eastAsia="仿宋" w:cs="仿宋"/>
                <w:sz w:val="21"/>
                <w:szCs w:val="21"/>
              </w:rPr>
              <w:tab/>
            </w:r>
            <w:r>
              <w:rPr>
                <w:rFonts w:hint="eastAsia" w:ascii="仿宋" w:hAnsi="仿宋" w:eastAsia="仿宋" w:cs="仿宋"/>
                <w:sz w:val="21"/>
                <w:szCs w:val="21"/>
              </w:rPr>
              <w:t>具有计算功能：药物计算、血液动力学计算、通气功能计算、氧合功能计算、肾功能计算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rPr>
              <w:tab/>
            </w:r>
            <w:r>
              <w:rPr>
                <w:rFonts w:hint="eastAsia" w:ascii="仿宋" w:hAnsi="仿宋" w:eastAsia="仿宋" w:cs="仿宋"/>
                <w:sz w:val="21"/>
                <w:szCs w:val="21"/>
              </w:rPr>
              <w:t>联网功能：与主流品牌的除颤仪、呼吸机联网同一中央站，满足床旁设备信息化的需求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15</w:t>
            </w:r>
            <w:r>
              <w:rPr>
                <w:rFonts w:hint="eastAsia" w:ascii="仿宋" w:hAnsi="仿宋" w:eastAsia="仿宋" w:cs="仿宋"/>
                <w:sz w:val="21"/>
                <w:szCs w:val="21"/>
              </w:rPr>
              <w:tab/>
            </w:r>
            <w:r>
              <w:rPr>
                <w:rFonts w:hint="eastAsia" w:ascii="仿宋" w:hAnsi="仿宋" w:eastAsia="仿宋" w:cs="仿宋"/>
                <w:sz w:val="21"/>
                <w:szCs w:val="21"/>
              </w:rPr>
              <w:t>标配锂电池</w:t>
            </w:r>
            <w:r>
              <w:rPr>
                <w:rFonts w:hint="eastAsia" w:ascii="仿宋" w:hAnsi="仿宋" w:eastAsia="仿宋" w:cs="仿宋"/>
                <w:sz w:val="21"/>
                <w:szCs w:val="21"/>
              </w:rPr>
              <w:tab/>
            </w:r>
            <w:r>
              <w:rPr>
                <w:rFonts w:hint="eastAsia" w:ascii="仿宋" w:hAnsi="仿宋" w:eastAsia="仿宋" w:cs="仿宋"/>
                <w:sz w:val="21"/>
                <w:szCs w:val="21"/>
              </w:rPr>
              <w:t>锂电池供电时间: ≥200分钟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rPr>
              <w:tab/>
            </w:r>
            <w:r>
              <w:rPr>
                <w:rFonts w:hint="eastAsia" w:ascii="仿宋" w:hAnsi="仿宋" w:eastAsia="仿宋" w:cs="仿宋"/>
                <w:sz w:val="21"/>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*16.1所投产品入选中国医学装备协会“优秀国产设备遴选目录”，提供证书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16.2</w:t>
            </w:r>
            <w:r>
              <w:rPr>
                <w:rFonts w:hint="eastAsia" w:ascii="仿宋" w:hAnsi="仿宋" w:eastAsia="仿宋" w:cs="仿宋"/>
                <w:sz w:val="21"/>
                <w:szCs w:val="21"/>
              </w:rPr>
              <w:tab/>
            </w:r>
            <w:r>
              <w:rPr>
                <w:rFonts w:hint="eastAsia" w:ascii="仿宋" w:hAnsi="仿宋" w:eastAsia="仿宋" w:cs="仿宋"/>
                <w:sz w:val="21"/>
                <w:szCs w:val="21"/>
              </w:rPr>
              <w:t>投标产品通过ISO14001认证，提交认证证书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16.3</w:t>
            </w:r>
            <w:r>
              <w:rPr>
                <w:rFonts w:hint="eastAsia" w:ascii="仿宋" w:hAnsi="仿宋" w:eastAsia="仿宋" w:cs="仿宋"/>
                <w:sz w:val="21"/>
                <w:szCs w:val="21"/>
              </w:rPr>
              <w:tab/>
            </w:r>
            <w:r>
              <w:rPr>
                <w:rFonts w:hint="eastAsia" w:ascii="仿宋" w:hAnsi="仿宋" w:eastAsia="仿宋" w:cs="仿宋"/>
                <w:sz w:val="21"/>
                <w:szCs w:val="21"/>
              </w:rPr>
              <w:t>投标产品通过FDA认证，提交认证证书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16.4产品标准，需提交“国食药监械字”注册证和生产制造认可表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17.1、维修响应速度：省内有常驻售后机构,并且提供备用机，一小时内做出维修方案决定；如2小时内无法通过电话解决问题，维修人员必须在接到故障报告后24小时内到达医院，含节假日；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17.4、设备免费原厂保修</w:t>
            </w:r>
            <w:r>
              <w:rPr>
                <w:rFonts w:hint="eastAsia" w:ascii="仿宋" w:hAnsi="仿宋" w:eastAsia="仿宋" w:cs="仿宋"/>
                <w:b w:val="0"/>
                <w:bCs w:val="0"/>
                <w:color w:val="FF0000"/>
                <w:kern w:val="2"/>
                <w:sz w:val="21"/>
                <w:szCs w:val="21"/>
                <w:lang w:val="en-US" w:eastAsia="zh-CN" w:bidi="ar-SA"/>
              </w:rPr>
              <w:t>期主机3年，附件6个月</w:t>
            </w:r>
            <w:r>
              <w:rPr>
                <w:rFonts w:hint="eastAsia" w:ascii="仿宋" w:hAnsi="仿宋" w:eastAsia="仿宋" w:cs="仿宋"/>
                <w:b w:val="0"/>
                <w:bCs w:val="0"/>
                <w:kern w:val="2"/>
                <w:sz w:val="21"/>
                <w:szCs w:val="21"/>
                <w:lang w:val="en-US" w:eastAsia="zh-CN" w:bidi="ar-SA"/>
              </w:rPr>
              <w:t>；质保期过后厂家免费维修，不换配件不收费。每半年免费保养一次。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9080" w:type="dxa"/>
            <w:gridSpan w:val="4"/>
            <w:noWrap w:val="0"/>
            <w:vAlign w:val="center"/>
          </w:tcPr>
          <w:p>
            <w:pPr>
              <w:spacing w:line="240" w:lineRule="auto"/>
              <w:jc w:val="both"/>
              <w:rPr>
                <w:rFonts w:hint="eastAsia"/>
              </w:rPr>
            </w:pPr>
            <w:r>
              <w:rPr>
                <w:rFonts w:hint="eastAsia" w:ascii="仿宋" w:hAnsi="仿宋" w:eastAsia="仿宋" w:cs="仿宋"/>
                <w:b w:val="0"/>
                <w:bCs w:val="0"/>
                <w:kern w:val="2"/>
                <w:sz w:val="21"/>
                <w:szCs w:val="21"/>
                <w:lang w:val="en-US" w:eastAsia="zh-CN" w:bidi="ar-SA"/>
              </w:rPr>
              <w:t>17.7、提供操作手册和维修手册</w:t>
            </w:r>
          </w:p>
        </w:tc>
      </w:tr>
    </w:tbl>
    <w:p>
      <w:pPr>
        <w:pStyle w:val="2"/>
        <w:rPr>
          <w:rFonts w:hint="eastAsia"/>
          <w:sz w:val="28"/>
          <w:szCs w:val="28"/>
        </w:rPr>
      </w:pPr>
      <w:r>
        <w:rPr>
          <w:rFonts w:hint="eastAsia"/>
          <w:sz w:val="28"/>
          <w:szCs w:val="28"/>
        </w:rPr>
        <w:t>产品配置清单：</w:t>
      </w:r>
    </w:p>
    <w:tbl>
      <w:tblPr>
        <w:tblStyle w:val="11"/>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230" w:type="dxa"/>
            <w:noWrap w:val="0"/>
            <w:vAlign w:val="top"/>
          </w:tcPr>
          <w:p>
            <w:pPr>
              <w:jc w:val="center"/>
              <w:rPr>
                <w:rFonts w:hint="eastAsia"/>
                <w:sz w:val="28"/>
                <w:szCs w:val="28"/>
              </w:rPr>
            </w:pPr>
            <w:r>
              <w:rPr>
                <w:rFonts w:hint="eastAsia"/>
                <w:sz w:val="28"/>
                <w:szCs w:val="28"/>
              </w:rPr>
              <w:t>产品配置清单</w:t>
            </w:r>
          </w:p>
        </w:tc>
        <w:tc>
          <w:tcPr>
            <w:tcW w:w="4230"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病人监护仪</w:t>
            </w:r>
          </w:p>
        </w:tc>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心电导联线</w:t>
            </w:r>
          </w:p>
        </w:tc>
        <w:tc>
          <w:tcPr>
            <w:tcW w:w="423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指脉氧</w:t>
            </w:r>
          </w:p>
        </w:tc>
        <w:tc>
          <w:tcPr>
            <w:tcW w:w="423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30" w:type="dxa"/>
            <w:noWrap w:val="0"/>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血压袖带</w:t>
            </w:r>
          </w:p>
        </w:tc>
        <w:tc>
          <w:tcPr>
            <w:tcW w:w="423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2个</w:t>
            </w:r>
          </w:p>
        </w:tc>
      </w:tr>
    </w:tbl>
    <w:p>
      <w:pPr>
        <w:widowControl w:val="0"/>
        <w:numPr>
          <w:ilvl w:val="0"/>
          <w:numId w:val="0"/>
        </w:numPr>
        <w:spacing w:line="560" w:lineRule="exact"/>
        <w:jc w:val="both"/>
        <w:rPr>
          <w:rFonts w:hint="eastAsia" w:ascii="黑体" w:eastAsia="黑体"/>
          <w:sz w:val="32"/>
          <w:szCs w:val="32"/>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报价方式：</w:t>
      </w:r>
      <w:r>
        <w:rPr>
          <w:rFonts w:hint="eastAsia" w:ascii="仿宋_GB2312" w:eastAsia="仿宋_GB2312"/>
          <w:sz w:val="32"/>
          <w:szCs w:val="32"/>
          <w:lang w:eastAsia="zh-CN"/>
        </w:rPr>
        <w:t>低价中标</w:t>
      </w:r>
      <w:bookmarkStart w:id="15" w:name="_GoBack"/>
      <w:bookmarkEnd w:id="15"/>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ind w:left="319" w:leftChars="15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3、设备运至甲方指定地点，乙方应指派工程师安装，安装完成后应对甲方相关操作人员进行设备操作的免费培训，直至甲方操作人员能熟练操作为止，乙方承担培训的薪资、差旅等全部费用。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整机免费质保期为1年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w:t>
      </w:r>
      <w:r>
        <w:rPr>
          <w:rFonts w:hint="eastAsia" w:ascii="新宋体" w:hAnsi="新宋体" w:eastAsia="新宋体" w:cs="新宋体"/>
          <w:sz w:val="24"/>
          <w:highlight w:val="yellow"/>
          <w:lang w:val="en-US" w:eastAsia="zh-CN"/>
        </w:rPr>
        <w:t>免费质保期内如果出现三次以上因质量问题引起的故障（人为因素除外），乙方应负责免费更换全套新设备，更换设备按更换日期重新计免费质保期</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w:t>
      </w:r>
      <w:r>
        <w:rPr>
          <w:rFonts w:hint="eastAsia" w:ascii="新宋体" w:hAnsi="新宋体" w:eastAsia="新宋体" w:cs="新宋体"/>
          <w:sz w:val="24"/>
          <w:highlight w:val="yellow"/>
          <w:lang w:val="en-US" w:eastAsia="zh-CN"/>
        </w:rPr>
        <w:t>双倍赔付损失</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乙方如果不能按时提供甲方所需的合格设备，由此影响了甲方正常工作，甲方有权终止合同，如果甲方要求乙方继续供货，乙方从合同约定交货之日起按每日总货款的2%赔付，直至货到之日为止</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w:t>
      </w:r>
      <w:r>
        <w:rPr>
          <w:rFonts w:hint="eastAsia" w:ascii="新宋体" w:hAnsi="新宋体" w:eastAsia="新宋体" w:cs="新宋体"/>
          <w:sz w:val="24"/>
          <w:highlight w:val="yellow"/>
          <w:lang w:val="en-US" w:eastAsia="zh-CN"/>
        </w:rPr>
        <w:t>乙方违反质量条款交付产品，应在接甲方通知七日内更换合同产品，否则每逾期一日承担合同总额的1%违约金</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highlight w:val="yellow"/>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存储软件著作权登记证书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w:t>
      </w:r>
      <w:r>
        <w:rPr>
          <w:rFonts w:hint="eastAsia" w:ascii="仿宋_GB2312" w:eastAsia="仿宋_GB2312"/>
          <w:color w:val="000000"/>
          <w:sz w:val="28"/>
          <w:szCs w:val="28"/>
          <w:lang w:eastAsia="zh-CN"/>
        </w:rPr>
        <w:t>；</w:t>
      </w:r>
      <w:r>
        <w:rPr>
          <w:rFonts w:hint="eastAsia" w:ascii="仿宋_GB2312" w:eastAsia="仿宋_GB2312"/>
          <w:color w:val="000000"/>
          <w:sz w:val="28"/>
          <w:szCs w:val="28"/>
        </w:rPr>
        <w:t>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304219257"/>
      <w:bookmarkStart w:id="5" w:name="_Toc15313"/>
      <w:bookmarkStart w:id="6" w:name="_Toc248896063"/>
      <w:bookmarkStart w:id="7" w:name="_Toc9548"/>
      <w:bookmarkStart w:id="8" w:name="_Toc320878640"/>
      <w:bookmarkStart w:id="9" w:name="_Toc261708863"/>
      <w:bookmarkStart w:id="10" w:name="_Toc219626747"/>
      <w:bookmarkStart w:id="11" w:name="_Toc258360269"/>
      <w:bookmarkStart w:id="12" w:name="_Toc10762"/>
      <w:bookmarkStart w:id="13" w:name="_Toc25833363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hint="eastAsia"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jc w:val="both"/>
        <w:rPr>
          <w:rFonts w:ascii="仿宋_GB2312" w:hAnsi="宋体" w:eastAsia="仿宋_GB2312"/>
          <w:color w:val="000000"/>
          <w:sz w:val="32"/>
          <w:szCs w:val="32"/>
        </w:rPr>
      </w:pP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270" w:right="1800" w:bottom="127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0136D1"/>
    <w:rsid w:val="03C05FE9"/>
    <w:rsid w:val="041C0681"/>
    <w:rsid w:val="06AB0CBE"/>
    <w:rsid w:val="07115D57"/>
    <w:rsid w:val="071B2990"/>
    <w:rsid w:val="08492771"/>
    <w:rsid w:val="08B25A56"/>
    <w:rsid w:val="091E4C98"/>
    <w:rsid w:val="09984B6B"/>
    <w:rsid w:val="09AA6B2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1F506EB0"/>
    <w:rsid w:val="22023BDE"/>
    <w:rsid w:val="22401398"/>
    <w:rsid w:val="245F44FD"/>
    <w:rsid w:val="246624B2"/>
    <w:rsid w:val="24DF7354"/>
    <w:rsid w:val="24FE3AD7"/>
    <w:rsid w:val="25E13CF1"/>
    <w:rsid w:val="2643733F"/>
    <w:rsid w:val="264A511E"/>
    <w:rsid w:val="26AE3C18"/>
    <w:rsid w:val="278100C0"/>
    <w:rsid w:val="288B4898"/>
    <w:rsid w:val="2A7E0BB7"/>
    <w:rsid w:val="2B0A7B44"/>
    <w:rsid w:val="2ED21247"/>
    <w:rsid w:val="2EF714BA"/>
    <w:rsid w:val="2F632DBF"/>
    <w:rsid w:val="30217C48"/>
    <w:rsid w:val="31384F13"/>
    <w:rsid w:val="31827FC3"/>
    <w:rsid w:val="32367AE2"/>
    <w:rsid w:val="33F956F6"/>
    <w:rsid w:val="35235DD9"/>
    <w:rsid w:val="35803DCD"/>
    <w:rsid w:val="359022EB"/>
    <w:rsid w:val="384A7AD5"/>
    <w:rsid w:val="38F87582"/>
    <w:rsid w:val="3AD243FA"/>
    <w:rsid w:val="3B2A4846"/>
    <w:rsid w:val="3B5373B6"/>
    <w:rsid w:val="3C8F1C55"/>
    <w:rsid w:val="3CCF593D"/>
    <w:rsid w:val="3DA0606C"/>
    <w:rsid w:val="3EDC78BB"/>
    <w:rsid w:val="3EEB7664"/>
    <w:rsid w:val="44504B88"/>
    <w:rsid w:val="44B67130"/>
    <w:rsid w:val="456841B6"/>
    <w:rsid w:val="4656733B"/>
    <w:rsid w:val="46BB2C0A"/>
    <w:rsid w:val="47552A75"/>
    <w:rsid w:val="486D7AF7"/>
    <w:rsid w:val="494804BB"/>
    <w:rsid w:val="4A2A20B9"/>
    <w:rsid w:val="4AAE7F9D"/>
    <w:rsid w:val="4B4638AD"/>
    <w:rsid w:val="4B9C1C97"/>
    <w:rsid w:val="4BC500AA"/>
    <w:rsid w:val="4FCE5CD6"/>
    <w:rsid w:val="514F77D3"/>
    <w:rsid w:val="53501B3C"/>
    <w:rsid w:val="550B217C"/>
    <w:rsid w:val="563E288F"/>
    <w:rsid w:val="57162389"/>
    <w:rsid w:val="57575861"/>
    <w:rsid w:val="5AD50E25"/>
    <w:rsid w:val="5C4D75EE"/>
    <w:rsid w:val="5CEA2A63"/>
    <w:rsid w:val="5D327E39"/>
    <w:rsid w:val="5D4D3632"/>
    <w:rsid w:val="5ED90E8F"/>
    <w:rsid w:val="615523A0"/>
    <w:rsid w:val="649D2897"/>
    <w:rsid w:val="64BF3E0B"/>
    <w:rsid w:val="64E26821"/>
    <w:rsid w:val="65207F71"/>
    <w:rsid w:val="66016CC0"/>
    <w:rsid w:val="695C7637"/>
    <w:rsid w:val="6A67750E"/>
    <w:rsid w:val="6CD8518D"/>
    <w:rsid w:val="6CF55055"/>
    <w:rsid w:val="6ECA7999"/>
    <w:rsid w:val="6F8E4227"/>
    <w:rsid w:val="70E04A7D"/>
    <w:rsid w:val="70F03E6A"/>
    <w:rsid w:val="71B367CA"/>
    <w:rsid w:val="745F5922"/>
    <w:rsid w:val="76F46767"/>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2021-11-16T11:19:41Z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9B47731B23BC40339C9BABFC8E8542CC</vt:lpwstr>
  </property>
</Properties>
</file>