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地源热泵中央空调设备维保服务</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2021年11月4日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地源热泵中央空调设备维保服务项目，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地源热泵中央空调设备维保服务项目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19"/>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维保范围</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地源热泵中央空调设备3台特灵地源热泵离心机系统。</w:t>
      </w:r>
    </w:p>
    <w:p>
      <w:pPr>
        <w:pStyle w:val="19"/>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维保要求：提供空调的换季维护保养、应急服务维修、配件维修更换、技术支持等服务，保证医院设备常年正常工作。</w:t>
      </w:r>
    </w:p>
    <w:p>
      <w:pPr>
        <w:pStyle w:val="19"/>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报名单位需自行勘察现场。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供应商在中国境内注册、具有合法的经营资格，具备承担采购项目的能力</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供应商须具备制冷空调设备维修安装A类Ⅰ级、D类Ⅰ级或以上相关专业资质；具有建筑机电安装工程专业承包三级以上资质；具有ISO9001质量管理体系认证证书；</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hint="eastAsia" w:ascii="仿宋_GB2312" w:eastAsia="仿宋_GB2312" w:cs="Times New Roman"/>
          <w:kern w:val="2"/>
          <w:sz w:val="32"/>
          <w:szCs w:val="32"/>
          <w:lang w:val="en-US" w:eastAsia="zh-CN" w:bidi="ar-SA"/>
        </w:rPr>
        <w:t>供应商须具有专业工程师团队（工程师须提供专业制冷与空调作业操作和低压电工证件），具有管道工、通风工等相应的中央空调维修资质，相应技术人员提供本公司社保统筹材料</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不得有商业贿赂和不正当欺诈行为。如</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被证实有以上行为，将被视为不合格；</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w:t>
      </w:r>
      <w:r>
        <w:rPr>
          <w:rFonts w:hint="eastAsia" w:ascii="仿宋_GB2312" w:eastAsia="仿宋_GB2312" w:cs="Times New Roman"/>
          <w:kern w:val="2"/>
          <w:sz w:val="32"/>
          <w:szCs w:val="32"/>
          <w:lang w:val="en-US" w:eastAsia="zh-CN" w:bidi="ar-SA"/>
        </w:rPr>
        <w:t>供应商不能是被列入“信用中国”和国家企业信息公示系统严重违法失信企业名单的供应商</w:t>
      </w:r>
      <w:r>
        <w:rPr>
          <w:rFonts w:hint="eastAsia" w:ascii="仿宋_GB2312" w:hAnsi="Calibri" w:eastAsia="仿宋_GB2312" w:cs="Times New Roman"/>
          <w:kern w:val="2"/>
          <w:sz w:val="32"/>
          <w:szCs w:val="32"/>
          <w:lang w:val="en-US" w:eastAsia="zh-CN" w:bidi="ar-SA"/>
        </w:rPr>
        <w:t>；</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供应商应拥有备品备件库，应急备件及耗材有库存；必要时现场考察备件库的属实性</w:t>
      </w:r>
      <w:r>
        <w:rPr>
          <w:rFonts w:hint="eastAsia" w:ascii="仿宋_GB2312" w:hAnsi="Calibri" w:eastAsia="仿宋_GB2312" w:cs="Times New Roman"/>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commentRangeStart w:id="0"/>
      <w:r>
        <w:rPr>
          <w:rFonts w:hint="eastAsia" w:ascii="仿宋_GB2312" w:eastAsia="仿宋_GB2312"/>
          <w:color w:val="C00000"/>
          <w:sz w:val="32"/>
          <w:szCs w:val="32"/>
          <w:lang w:val="en-US" w:eastAsia="zh-CN"/>
        </w:rPr>
        <w:t>10</w:t>
      </w:r>
      <w:commentRangeEnd w:id="0"/>
      <w:r>
        <w:commentReference w:id="0"/>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3"/>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实施方案</w:t>
            </w:r>
            <w:r>
              <w:rPr>
                <w:rFonts w:hint="eastAsia"/>
                <w:color w:val="auto"/>
              </w:rPr>
              <w:t>：</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实施方案（</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1根据项目实施方案在0-40分范围内进行打分。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中央空调离心机组及附属设备   </w:t>
      </w:r>
      <w:r>
        <w:rPr>
          <w:rFonts w:hint="eastAsia" w:ascii="方正小标宋简体" w:hAnsi="方正小标宋简体" w:eastAsia="方正小标宋简体" w:cs="方正小标宋简体"/>
          <w:sz w:val="36"/>
          <w:szCs w:val="36"/>
          <w:u w:val="none"/>
          <w:lang w:eastAsia="zh-CN"/>
        </w:rPr>
        <w:t>维护保养合同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采购方：（甲方）：新郑市公立人民医院</w:t>
      </w:r>
      <w:r>
        <w:rPr>
          <w:rFonts w:hint="eastAsia" w:ascii="仿宋_GB2312" w:hAnsi="仿宋_GB2312" w:eastAsia="仿宋_GB2312" w:cs="仿宋_GB2312"/>
          <w:b/>
          <w:sz w:val="24"/>
          <w:lang w:val="en-US" w:eastAsia="zh-CN"/>
        </w:rPr>
        <w:t xml:space="preserve">    服务方：（乙方）：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地址：</w:t>
      </w:r>
      <w:r>
        <w:rPr>
          <w:rFonts w:hint="eastAsia" w:ascii="仿宋_GB2312" w:hAnsi="仿宋_GB2312" w:eastAsia="仿宋_GB2312" w:cs="仿宋_GB2312"/>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 xml:space="preserve">联系电话：0371-69952699               联系电话：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根据《民法典》以及相关法律法规的规定，经甲、乙双方协商，就甲方采购乙方中央空调主机及附属设备维护保养服务事宜，双方自愿签订如下合同。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第一条 服务发生所在地及价格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维护保养服务发生所在地位新郑市公立人民医院院区中央空调主机机房；维护保养服务费用为</w:t>
      </w:r>
      <w:r>
        <w:rPr>
          <w:rFonts w:hint="eastAsia" w:ascii="仿宋_GB2312" w:hAnsi="仿宋_GB2312" w:eastAsia="仿宋_GB2312" w:cs="仿宋_GB2312"/>
          <w:sz w:val="24"/>
          <w:u w:val="single"/>
          <w:lang w:val="en-US" w:eastAsia="zh-CN"/>
        </w:rPr>
        <w:t xml:space="preserve">         元/年</w:t>
      </w:r>
      <w:r>
        <w:rPr>
          <w:rFonts w:hint="eastAsia" w:ascii="仿宋_GB2312" w:hAnsi="仿宋_GB2312" w:eastAsia="仿宋_GB2312" w:cs="仿宋_GB2312"/>
          <w:sz w:val="24"/>
          <w:lang w:val="en-US" w:eastAsia="zh-CN"/>
        </w:rPr>
        <w:t>。</w:t>
      </w:r>
    </w:p>
    <w:p>
      <w:pPr>
        <w:keepNext w:val="0"/>
        <w:keepLines w:val="0"/>
        <w:pageBreakBefore w:val="0"/>
        <w:numPr>
          <w:ilvl w:val="0"/>
          <w:numId w:val="7"/>
        </w:numPr>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维护保养服务内容</w:t>
      </w:r>
    </w:p>
    <w:p>
      <w:pPr>
        <w:pStyle w:val="2"/>
        <w:numPr>
          <w:ilvl w:val="0"/>
          <w:numId w:val="0"/>
        </w:numPr>
        <w:ind w:left="420" w:lef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A.维护保养对象为特灵品牌CVHG离心机3台及配套供配电、控制设备设施；</w:t>
      </w:r>
    </w:p>
    <w:p>
      <w:pPr>
        <w:widowControl/>
        <w:autoSpaceDE w:val="0"/>
        <w:autoSpaceDN w:val="0"/>
        <w:spacing w:line="360" w:lineRule="auto"/>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Cs/>
          <w:sz w:val="24"/>
          <w:szCs w:val="24"/>
          <w:highlight w:val="none"/>
        </w:rPr>
        <w:t>主机编号：G16J02664 /</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sz w:val="24"/>
          <w:szCs w:val="24"/>
          <w:highlight w:val="none"/>
        </w:rPr>
        <w:t>G16J02663 /</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sz w:val="24"/>
          <w:szCs w:val="24"/>
          <w:highlight w:val="none"/>
        </w:rPr>
        <w:t>G16J02662</w:t>
      </w:r>
      <w:r>
        <w:rPr>
          <w:rFonts w:hint="eastAsia" w:ascii="仿宋_GB2312" w:hAnsi="仿宋_GB2312" w:eastAsia="仿宋_GB2312" w:cs="仿宋_GB2312"/>
          <w:bCs/>
          <w:sz w:val="24"/>
          <w:szCs w:val="24"/>
          <w:highlight w:val="none"/>
          <w:lang w:eastAsia="zh-CN"/>
        </w:rPr>
        <w:t>。</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B.负责派技术人员对三台机组进行两次/年度保养工作。</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C.负责派技术人员对三台机组在制冷季每月进行两次常规保养工作。</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D.负责派技术人员对三台机组进行更换油滤、干燥过滤器服务，数量见报价单。</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E.负责派技术人员对三台机组进行一次冷凝器清洗服务。</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F.负责派技术人员对三台机组免费提供紧急维修服务，两小时内到现场检查故障原因、提供解决方案。</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G.对更换配件提供两年质量保证。</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H.对于1000元以下配件，免费提供。</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I.对于其他配件，承诺五折优惠提供。</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J.保证更换配件为原厂正品，更换技术人员为原厂技术工程师。</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第三条 服务周期</w:t>
      </w:r>
    </w:p>
    <w:p>
      <w:pPr>
        <w:pStyle w:val="2"/>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bCs/>
          <w:sz w:val="24"/>
          <w:highlight w:val="none"/>
          <w:lang w:val="en-US" w:eastAsia="zh-CN"/>
        </w:rPr>
        <w:t xml:space="preserve">   </w:t>
      </w:r>
      <w:r>
        <w:rPr>
          <w:rFonts w:hint="eastAsia" w:ascii="仿宋_GB2312" w:hAnsi="仿宋_GB2312" w:eastAsia="仿宋_GB2312" w:cs="仿宋_GB2312"/>
          <w:b w:val="0"/>
          <w:bCs w:val="0"/>
          <w:sz w:val="24"/>
          <w:highlight w:val="none"/>
          <w:lang w:val="en-US" w:eastAsia="zh-CN"/>
        </w:rPr>
        <w:t xml:space="preserve"> 自合同签订之日起生效，合同期限为1年。</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bCs/>
          <w:sz w:val="24"/>
          <w:highlight w:val="none"/>
          <w:lang w:val="en-US" w:eastAsia="zh-CN"/>
        </w:rPr>
        <w:t>第四条 验收标准及方式</w:t>
      </w:r>
      <w:r>
        <w:rPr>
          <w:rFonts w:hint="eastAsia" w:ascii="仿宋_GB2312" w:hAnsi="仿宋_GB2312" w:eastAsia="仿宋_GB2312" w:cs="仿宋_GB2312"/>
          <w:sz w:val="24"/>
          <w:highlight w:val="none"/>
          <w:lang w:val="en-US" w:eastAsia="zh-CN"/>
        </w:rPr>
        <w:t xml:space="preserve"> </w:t>
      </w:r>
    </w:p>
    <w:p>
      <w:pPr>
        <w:pStyle w:val="2"/>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4"/>
          <w:highlight w:val="none"/>
          <w:lang w:val="en-US" w:eastAsia="zh-CN"/>
        </w:rPr>
        <w:t xml:space="preserve">    每次保养完毕后，乙方自检后请示甲方进行工程验收。</w:t>
      </w:r>
    </w:p>
    <w:p>
      <w:pPr>
        <w:ind w:firstLine="360" w:firstLineChars="150"/>
        <w:rPr>
          <w:rFonts w:hint="eastAsia" w:ascii="仿宋_GB2312" w:hAnsi="仿宋_GB2312" w:eastAsia="仿宋_GB2312" w:cs="仿宋_GB2312"/>
          <w:sz w:val="24"/>
          <w:szCs w:val="24"/>
        </w:rPr>
      </w:pPr>
    </w:p>
    <w:p>
      <w:pPr>
        <w:ind w:firstLine="360" w:firstLineChars="150"/>
        <w:rPr>
          <w:rFonts w:hint="eastAsia" w:ascii="仿宋_GB2312" w:hAnsi="仿宋_GB2312" w:eastAsia="仿宋_GB2312" w:cs="仿宋_GB2312"/>
          <w:sz w:val="24"/>
          <w:szCs w:val="24"/>
        </w:rPr>
      </w:pPr>
    </w:p>
    <w:p>
      <w:pPr>
        <w:ind w:firstLine="360" w:firstLineChars="150"/>
        <w:rPr>
          <w:rFonts w:hint="eastAsia" w:ascii="仿宋_GB2312" w:hAnsi="仿宋_GB2312" w:eastAsia="仿宋_GB2312" w:cs="仿宋_GB2312"/>
          <w:sz w:val="24"/>
          <w:szCs w:val="24"/>
        </w:rPr>
      </w:pPr>
    </w:p>
    <w:p>
      <w:pPr>
        <w:ind w:firstLine="360" w:firstLineChars="150"/>
        <w:rPr>
          <w:rFonts w:hint="eastAsia" w:ascii="仿宋_GB2312" w:hAnsi="仿宋_GB2312" w:eastAsia="仿宋_GB2312" w:cs="仿宋_GB2312"/>
          <w:sz w:val="24"/>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p>
    <w:tbl>
      <w:tblPr>
        <w:tblStyle w:val="13"/>
        <w:tblW w:w="6717" w:type="dxa"/>
        <w:jc w:val="center"/>
        <w:tblInd w:w="0" w:type="dxa"/>
        <w:tblLayout w:type="fixed"/>
        <w:tblCellMar>
          <w:top w:w="0" w:type="dxa"/>
          <w:left w:w="108" w:type="dxa"/>
          <w:bottom w:w="0" w:type="dxa"/>
          <w:right w:w="108" w:type="dxa"/>
        </w:tblCellMar>
      </w:tblPr>
      <w:tblGrid>
        <w:gridCol w:w="709"/>
        <w:gridCol w:w="1913"/>
        <w:gridCol w:w="1654"/>
        <w:gridCol w:w="967"/>
        <w:gridCol w:w="1474"/>
      </w:tblGrid>
      <w:tr>
        <w:tblPrEx>
          <w:tblLayout w:type="fixed"/>
          <w:tblCellMar>
            <w:top w:w="0" w:type="dxa"/>
            <w:left w:w="108" w:type="dxa"/>
            <w:bottom w:w="0" w:type="dxa"/>
            <w:right w:w="108" w:type="dxa"/>
          </w:tblCellMar>
        </w:tblPrEx>
        <w:trPr>
          <w:trHeight w:val="38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序号</w:t>
            </w:r>
          </w:p>
        </w:tc>
        <w:tc>
          <w:tcPr>
            <w:tcW w:w="1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服务内容</w:t>
            </w:r>
          </w:p>
        </w:tc>
        <w:tc>
          <w:tcPr>
            <w:tcW w:w="1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服务期限</w:t>
            </w:r>
          </w:p>
        </w:tc>
        <w:tc>
          <w:tcPr>
            <w:tcW w:w="9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数量</w:t>
            </w:r>
          </w:p>
        </w:tc>
        <w:tc>
          <w:tcPr>
            <w:tcW w:w="14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备注</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特灵地源热泵离心机主机保养</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自合同签订起一年</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冷凝器清洗</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油过滤器</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FL01592</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原厂配件</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冷媒干燥过滤器</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DHY01474</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原厂配件</w:t>
            </w:r>
          </w:p>
        </w:tc>
      </w:tr>
    </w:tbl>
    <w:p>
      <w:pPr>
        <w:spacing w:after="60"/>
        <w:rPr>
          <w:rFonts w:hint="eastAsia" w:ascii="仿宋_GB2312" w:hAnsi="仿宋_GB2312" w:eastAsia="仿宋_GB2312" w:cs="仿宋_GB2312"/>
          <w:sz w:val="24"/>
          <w:szCs w:val="24"/>
        </w:rPr>
      </w:pPr>
    </w:p>
    <w:p>
      <w:pPr>
        <w:spacing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上述合同总价包括合同第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条所述工作内容及上表所列的保养所需基本配件和消耗品：</w:t>
      </w:r>
    </w:p>
    <w:p>
      <w:pPr>
        <w:spacing w:after="60"/>
        <w:rPr>
          <w:rFonts w:hint="eastAsia" w:ascii="仿宋_GB2312" w:hAnsi="仿宋_GB2312" w:eastAsia="仿宋_GB2312" w:cs="仿宋_GB2312"/>
          <w:sz w:val="24"/>
          <w:szCs w:val="24"/>
        </w:rPr>
      </w:pPr>
    </w:p>
    <w:p>
      <w:pPr>
        <w:spacing w:after="60"/>
        <w:ind w:left="126" w:leftChars="6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但合同总价</w:t>
      </w:r>
      <w:r>
        <w:rPr>
          <w:rFonts w:hint="eastAsia" w:ascii="仿宋_GB2312" w:hAnsi="仿宋_GB2312" w:eastAsia="仿宋_GB2312" w:cs="仿宋_GB2312"/>
          <w:b/>
          <w:sz w:val="24"/>
          <w:szCs w:val="24"/>
        </w:rPr>
        <w:t>不包括</w:t>
      </w:r>
      <w:r>
        <w:rPr>
          <w:rFonts w:hint="eastAsia" w:ascii="仿宋_GB2312" w:hAnsi="仿宋_GB2312" w:eastAsia="仿宋_GB2312" w:cs="仿宋_GB2312"/>
          <w:sz w:val="24"/>
          <w:szCs w:val="24"/>
        </w:rPr>
        <w:t>提供以下内容：</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除上表所列的保养所需基本配件和消耗品之外的其他配件及物料（配件及物料由甲方提供或由乙方报价另行收费）。</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除本合同第</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条及附件所述之外的服务工作。</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机组以外的设备故障排除服务工作。</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由于外部因素引起的故障或损坏的故障排除服务工作（如水管破裂、地震或其它人力不可抗拒的事故） </w:t>
      </w:r>
    </w:p>
    <w:p>
      <w:pPr>
        <w:widowControl/>
        <w:numPr>
          <w:ilvl w:val="0"/>
          <w:numId w:val="9"/>
        </w:numPr>
        <w:autoSpaceDE w:val="0"/>
        <w:autoSpaceDN w:val="0"/>
        <w:ind w:left="647" w:leftChars="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widowControl/>
        <w:numPr>
          <w:ilvl w:val="0"/>
          <w:numId w:val="10"/>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本合同签订后[ 30]天，甲方支付合同总价的50%，即人民币</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(RMB</w:t>
      </w:r>
      <w:r>
        <w:rPr>
          <w:rFonts w:hint="eastAsia" w:ascii="仿宋_GB2312" w:hAnsi="仿宋_GB2312" w:eastAsia="仿宋_GB2312" w:cs="仿宋_GB2312"/>
          <w:sz w:val="24"/>
          <w:szCs w:val="24"/>
          <w:u w:val="none"/>
        </w:rPr>
        <w:sym w:font="Courier New" w:char="00A5"/>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给乙方。</w:t>
      </w:r>
    </w:p>
    <w:p>
      <w:pPr>
        <w:widowControl/>
        <w:numPr>
          <w:ilvl w:val="0"/>
          <w:numId w:val="10"/>
        </w:numPr>
        <w:autoSpaceDE w:val="0"/>
        <w:autoSpaceDN w:val="0"/>
        <w:spacing w:after="6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合同结束后，应向甲方</w:t>
      </w:r>
      <w:r>
        <w:rPr>
          <w:rFonts w:hint="eastAsia" w:ascii="仿宋_GB2312" w:hAnsi="仿宋_GB2312" w:eastAsia="仿宋_GB2312" w:cs="仿宋_GB2312"/>
          <w:sz w:val="24"/>
          <w:szCs w:val="24"/>
          <w:lang w:eastAsia="zh-CN"/>
        </w:rPr>
        <w:t>提供相应的增值税发票</w:t>
      </w:r>
      <w:r>
        <w:rPr>
          <w:rFonts w:hint="eastAsia" w:ascii="仿宋_GB2312" w:hAnsi="仿宋_GB2312" w:eastAsia="仿宋_GB2312" w:cs="仿宋_GB2312"/>
          <w:sz w:val="24"/>
          <w:szCs w:val="24"/>
        </w:rPr>
        <w:t>，甲方收到乙方</w:t>
      </w:r>
      <w:r>
        <w:rPr>
          <w:rFonts w:hint="eastAsia" w:ascii="仿宋_GB2312" w:hAnsi="仿宋_GB2312" w:eastAsia="仿宋_GB2312" w:cs="仿宋_GB2312"/>
          <w:sz w:val="24"/>
          <w:szCs w:val="24"/>
          <w:lang w:eastAsia="zh-CN"/>
        </w:rPr>
        <w:t>提供的发票</w:t>
      </w:r>
      <w:r>
        <w:rPr>
          <w:rFonts w:hint="eastAsia" w:ascii="仿宋_GB2312" w:hAnsi="仿宋_GB2312" w:eastAsia="仿宋_GB2312" w:cs="仿宋_GB2312"/>
          <w:sz w:val="24"/>
          <w:szCs w:val="24"/>
        </w:rPr>
        <w:t>后[ 15]日内应向乙方支付剩余50%的款项。</w:t>
      </w:r>
    </w:p>
    <w:p>
      <w:pPr>
        <w:widowControl/>
        <w:numPr>
          <w:ilvl w:val="0"/>
          <w:numId w:val="10"/>
        </w:numPr>
        <w:autoSpaceDE w:val="0"/>
        <w:autoSpaceDN w:val="0"/>
        <w:spacing w:after="60" w:line="360"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乙方收款帐号：</w:t>
      </w:r>
      <w:r>
        <w:rPr>
          <w:rFonts w:hint="eastAsia" w:ascii="仿宋_GB2312" w:hAnsi="仿宋_GB2312" w:eastAsia="仿宋_GB2312" w:cs="仿宋_GB2312"/>
          <w:sz w:val="24"/>
          <w:szCs w:val="24"/>
          <w:lang w:val="en-US" w:eastAsia="zh-CN"/>
        </w:rPr>
        <w:t xml:space="preserve">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widowControl/>
        <w:numPr>
          <w:ilvl w:val="0"/>
          <w:numId w:val="10"/>
        </w:numPr>
        <w:autoSpaceDE w:val="0"/>
        <w:autoSpaceDN w:val="0"/>
        <w:spacing w:after="60"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发票</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乙方提供甲方增值税普通发票。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bookmarkStart w:id="0" w:name="Check2"/>
    </w:p>
    <w:bookmarkEnd w:id="0"/>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如甲方需要乙方提供增值税发票，甲方需要提供乙方以下资料：</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公司名称：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公司地址：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开户银行：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税   号： </w:t>
      </w:r>
    </w:p>
    <w:p>
      <w:pPr>
        <w:spacing w:after="60"/>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第五条 甲方责任与权利</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合同签订前，甲方各空调设备应处良好及正常状况，并提供设备说明书及调试报告给乙方；</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甲方按合同规定按时支付保养款项</w:t>
      </w:r>
      <w:r>
        <w:rPr>
          <w:rFonts w:hint="eastAsia" w:ascii="仿宋_GB2312" w:hAnsi="仿宋_GB2312" w:eastAsia="仿宋_GB2312" w:cs="仿宋_GB2312"/>
          <w:sz w:val="24"/>
          <w:szCs w:val="24"/>
          <w:lang w:eastAsia="zh-CN"/>
        </w:rPr>
        <w:t>。</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合同期内，未经乙方许可，甲方不得擅自修理及拆卸设备元件等；</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若乙方未能按冷冻机年检检查项目细则要求进行保养工作，甲方保留提前解除合同的权利。</w:t>
      </w:r>
    </w:p>
    <w:p>
      <w:pPr>
        <w:widowControl/>
        <w:numPr>
          <w:ilvl w:val="0"/>
          <w:numId w:val="11"/>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甲方原因导致乙方无法按照本合同第3条所述完成全部工作内容的，双方应合同期限续延或变更相关事宜进行协商并另行达成本合同的书面补充协议。如本合同期限到期后，因甲方原因双方未能达成上述补充协议的，乙方有权停止本合同下的工作内容或者单方面终止本合同。对于合同终止前乙方已经提供的服务，甲方仍应根据本合同向乙方支付相应款项。</w:t>
      </w:r>
    </w:p>
    <w:p>
      <w:pPr>
        <w:widowControl/>
        <w:numPr>
          <w:ilvl w:val="0"/>
          <w:numId w:val="11"/>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完成每次服务后，甲方应在本合同附录一的工作单上盖章或指定其相关人员签字，以确认乙方已完成该次服务内容。甲方指定以下人员代表其签署与本合同工作内容的工作单，并应尽量确保由下述人员签署乙方工作单。</w:t>
      </w:r>
    </w:p>
    <w:p>
      <w:pPr>
        <w:widowControl/>
        <w:autoSpaceDE w:val="0"/>
        <w:autoSpaceDN w:val="0"/>
        <w:ind w:left="36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第六条 乙方责任与权利</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甲方未按合同规定支付相关款项，乙方有权中止合同并停止提供服务，直至款项付清为止；若甲方逾期付款超过三十（30）天以上的，乙方有权单方面解除合同。本条款以上规定不影响、也不减损本合同以及相关法律赋予乙方的任何其他权利、救济。</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良好的技术人员和工具仪器，最佳的服务质量和态度，严格按照特灵机组的保养标准做好维护保养工作，并认真填写运行报告，使设备处于良好运行状态由于乙方技术人员操作不当引起的故障或损坏，由乙方负责排除故障；</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乙方技术人员工作期间，需佩戴工作证，在空调设备出现故障时，应提出书面解决方案供甲方参考；</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每次保养结束后，乙方将向甲方提供检查报告及故障隐患清除之建议；</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定期保养时间应提前</w:t>
      </w:r>
      <w:bookmarkStart w:id="1" w:name="Text1"/>
      <w:r>
        <w:rPr>
          <w:rFonts w:hint="eastAsia" w:ascii="仿宋_GB2312" w:hAnsi="仿宋_GB2312" w:eastAsia="仿宋_GB2312" w:cs="仿宋_GB2312"/>
          <w:sz w:val="24"/>
          <w:szCs w:val="24"/>
        </w:rPr>
        <w:fldChar w:fldCharType="begin">
          <w:ffData>
            <w:name w:val="Text1"/>
            <w:enabled/>
            <w:calcOnExit w:val="0"/>
            <w:textInput>
              <w:default w:val="一周"/>
            </w:textInput>
          </w:ffData>
        </w:fldChar>
      </w:r>
      <w:r>
        <w:rPr>
          <w:rFonts w:hint="eastAsia" w:ascii="仿宋_GB2312" w:hAnsi="仿宋_GB2312" w:eastAsia="仿宋_GB2312" w:cs="仿宋_GB2312"/>
          <w:sz w:val="24"/>
          <w:szCs w:val="24"/>
        </w:rPr>
        <w:instrText xml:space="preserve"> FORMTEXT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一周</w:t>
      </w:r>
      <w:r>
        <w:rPr>
          <w:rFonts w:hint="eastAsia" w:ascii="仿宋_GB2312" w:hAnsi="仿宋_GB2312" w:eastAsia="仿宋_GB2312" w:cs="仿宋_GB2312"/>
          <w:sz w:val="24"/>
          <w:szCs w:val="24"/>
        </w:rPr>
        <w:fldChar w:fldCharType="end"/>
      </w:r>
      <w:bookmarkEnd w:id="1"/>
      <w:r>
        <w:rPr>
          <w:rFonts w:hint="eastAsia" w:ascii="仿宋_GB2312" w:hAnsi="仿宋_GB2312" w:eastAsia="仿宋_GB2312" w:cs="仿宋_GB2312"/>
          <w:sz w:val="24"/>
          <w:szCs w:val="24"/>
        </w:rPr>
        <w:t>通知甲方，以便甲方提前安排，不致影响正常的生产；</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乙方负责提供备件供应商清单以便甲方购买，或由乙方提供配件（费用另行报价）；</w:t>
      </w:r>
    </w:p>
    <w:p>
      <w:pPr>
        <w:widowControl/>
        <w:autoSpaceDE w:val="0"/>
        <w:autoSpaceDN w:val="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第七条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第八条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第九条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甲方（盖章）                                    乙方（盖章）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签约代表                                        签约代表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                               年    月      日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widowControl/>
        <w:autoSpaceDE w:val="0"/>
        <w:autoSpaceDN w:val="0"/>
        <w:jc w:val="left"/>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3"/>
        <w:rPr>
          <w:rFonts w:hint="eastAsia" w:ascii="仿宋_GB2312" w:hAnsi="仿宋_GB2312" w:eastAsia="仿宋_GB2312" w:cs="仿宋_GB2312"/>
          <w:sz w:val="24"/>
          <w:szCs w:val="24"/>
          <w:lang w:eastAsia="zh-CN"/>
        </w:rPr>
        <w:sectPr>
          <w:type w:val="continuous"/>
          <w:pgSz w:w="11906" w:h="16838"/>
          <w:pgMar w:top="1440" w:right="1286" w:bottom="1440" w:left="1440" w:header="720" w:footer="720" w:gutter="0"/>
          <w:cols w:space="720" w:num="1"/>
          <w:docGrid w:type="lines" w:linePitch="312" w:charSpace="0"/>
        </w:sectPr>
      </w:pPr>
    </w:p>
    <w:p>
      <w:pPr>
        <w:pStyle w:val="3"/>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w:t>
      </w:r>
    </w:p>
    <w:p>
      <w:pPr>
        <w:widowControl/>
        <w:jc w:val="left"/>
        <w:rPr>
          <w:rFonts w:hint="eastAsia" w:ascii="仿宋_GB2312" w:hAnsi="仿宋_GB2312" w:eastAsia="仿宋_GB2312" w:cs="仿宋_GB2312"/>
          <w:b/>
          <w:bCs/>
          <w:kern w:val="44"/>
          <w:sz w:val="24"/>
        </w:rPr>
      </w:pPr>
      <w:r>
        <w:rPr>
          <w:rFonts w:hint="eastAsia" w:ascii="仿宋_GB2312" w:hAnsi="仿宋_GB2312" w:eastAsia="仿宋_GB2312" w:cs="仿宋_GB2312"/>
          <w:b/>
          <w:bCs/>
          <w:kern w:val="44"/>
          <w:sz w:val="24"/>
        </w:rPr>
        <w:t xml:space="preserve">离心式冷冻机组CVHG离心机机维护保养程序 </w:t>
      </w:r>
    </w:p>
    <w:p>
      <w:pPr>
        <w:widowControl/>
        <w:jc w:val="left"/>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 xml:space="preserve">常规保养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1、压缩机马达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检测及收紧所有之马达电源端子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检测马达线圈温度传感器欧姆值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马达线组之绝缘阻抗测试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2、马达起动控制箱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收紧所有之电源端子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b. 对马达起动箱除垢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3、润滑系统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检查油槽油位是否正常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收紧油泵马达电源端子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检查及除垢处理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4、控制及保护电路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检查及调整导叶马达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b. 润滑所有导叶之连杆及传动部份</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5、冷凝器及蒸发器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a. 检查水及冷媒之温差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6、一般系统检查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检测冷媒系统有否有漏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检测不正常之噪音，振动及高温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检测及报告损坏之表计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从视窗检视压缩机油位是否正常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e. 运转主机，检查及报告其操作状况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sz w:val="24"/>
        </w:rPr>
      </w:pPr>
      <w:r>
        <w:rPr>
          <w:rFonts w:hint="eastAsia" w:ascii="仿宋_GB2312" w:hAnsi="仿宋_GB2312" w:eastAsia="仿宋_GB2312" w:cs="仿宋_GB2312"/>
          <w:b/>
          <w:bCs/>
          <w:color w:val="000000"/>
          <w:kern w:val="0"/>
          <w:sz w:val="24"/>
          <w:lang w:bidi="ar"/>
        </w:rPr>
        <w:t>年度保养细则（通常在机组启动前进行）</w:t>
      </w:r>
      <w:r>
        <w:rPr>
          <w:rFonts w:hint="eastAsia" w:ascii="仿宋_GB2312" w:hAnsi="仿宋_GB2312" w:eastAsia="仿宋_GB2312" w:cs="仿宋_GB2312"/>
          <w:color w:val="000000"/>
          <w:kern w:val="0"/>
          <w:sz w:val="24"/>
          <w:lang w:bidi="ar"/>
        </w:rPr>
        <w:t xml:space="preserve">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1、压缩机马达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检测及收紧所有之马达电源端子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检测马达线圈温度传感器欧姆值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马达线组之绝缘阻抗测试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2、马达起动控制箱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a. 收紧所有之电源端子</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检测马达起动器的所有其它装置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检测各接触器线路端子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对马达起动箱除垢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检测马达接线端子温度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检测各接触器接点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g. 清洁各接触器接点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3、润滑系统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检测油槽油位是否正常（运转中）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更换压缩机油过滤器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检测油温控制传感器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收紧油泵马达电源端子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记录马达运转电流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g. 检测油泵马达绕阻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h. 检测马达线圈内阻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i. 检测及除垢处理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4、控制及保护电路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检测及校正低温传感器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检测及调整高压开关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检测及校正高压传感器（选择配备）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检测及调整油压调节阀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检测油压转换器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检测及调整Guide Vane步进马达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g. 润滑所有Guide Vane之连杆及传动部份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h. 检测冷却水及冰水温度传感器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i. 检测及调整冷却水及冷冻水流量开关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j. 校正及调整主机设定参数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5、冷凝器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检测水及冷媒之温差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检测冷媒饱和温度传感器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检测冷媒饱和压力传感器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6、蒸发器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检测水及冷媒之温差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检测冷媒饱和温度传感器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检测及校正冷媒蒸发压力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7、抽气系统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检测电磁阀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清洁冷凝盘管铝鳍片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c. 检测马达之绝缘阻抗</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抽气系统整组清洁除垢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检测排气是否正常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f. 检测冷媒水份指示器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8、开机运转测试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检测马达线圈温度传感器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油槽视窗油位是否正常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从视窗检测抽气回收马达，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若有水份将其排除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检测不正常之噪音，振动及高温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检测及报告损坏之零件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g. 检测及报告其操作状况 </w:t>
      </w:r>
    </w:p>
    <w:p>
      <w:pPr>
        <w:widowControl/>
        <w:jc w:val="left"/>
        <w:rPr>
          <w:rFonts w:hint="eastAsia"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详细的服务内容请参考保养工作中的检查记录表。</w:t>
      </w:r>
    </w:p>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w:t>
      </w:r>
      <w:bookmarkStart w:id="17" w:name="_GoBack"/>
      <w:bookmarkEnd w:id="17"/>
      <w:r>
        <w:rPr>
          <w:rFonts w:hint="eastAsia" w:ascii="黑体" w:hAnsi="黑体" w:eastAsia="黑体" w:cs="黑体"/>
          <w:sz w:val="32"/>
          <w:szCs w:val="32"/>
        </w:rPr>
        <w:t>同具体条款以当事人约定为准。</w:t>
      </w:r>
    </w:p>
    <w:p>
      <w:pPr>
        <w:pStyle w:val="2"/>
        <w:rPr>
          <w:rFonts w:hint="eastAsia" w:ascii="仿宋_GB2312" w:hAnsi="仿宋_GB2312" w:eastAsia="仿宋_GB2312" w:cs="仿宋_GB2312"/>
          <w:b/>
          <w:color w:val="000000"/>
          <w:kern w:val="0"/>
          <w:sz w:val="24"/>
          <w:lang w:bidi="ar"/>
        </w:rPr>
        <w:sectPr>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3"/>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2" w:name="_Toc320878640"/>
      <w:bookmarkStart w:id="3" w:name="_Toc258360158"/>
      <w:bookmarkStart w:id="4" w:name="_Toc219626747"/>
      <w:bookmarkStart w:id="5" w:name="_Toc9548"/>
      <w:bookmarkStart w:id="6" w:name="_Toc337475854"/>
      <w:bookmarkStart w:id="7" w:name="_Toc248896063"/>
      <w:bookmarkStart w:id="8" w:name="_Toc304219257"/>
      <w:bookmarkStart w:id="9" w:name="_Toc337554724"/>
      <w:bookmarkStart w:id="10" w:name="_Toc15313"/>
      <w:bookmarkStart w:id="11" w:name="_Toc17030"/>
      <w:bookmarkStart w:id="12" w:name="_Toc261708863"/>
      <w:bookmarkStart w:id="13" w:name="_Toc258360269"/>
      <w:bookmarkStart w:id="14" w:name="_Toc258354146"/>
      <w:bookmarkStart w:id="15" w:name="_Toc258333636"/>
      <w:bookmarkStart w:id="16"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维杰" w:date="2021-11-04T13:03:14Z" w:initials="">
    <w:p w14:paraId="1D8979C5">
      <w:pPr>
        <w:pStyle w:val="5"/>
        <w:rPr>
          <w:rFonts w:hint="eastAsia" w:eastAsiaTheme="minorEastAsia"/>
          <w:lang w:eastAsia="zh-CN"/>
        </w:rPr>
      </w:pPr>
      <w:r>
        <w:rPr>
          <w:rFonts w:hint="eastAsia"/>
          <w:lang w:eastAsia="zh-CN"/>
        </w:rPr>
        <w:t>是否能提前两天？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8979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98084C"/>
    <w:multiLevelType w:val="singleLevel"/>
    <w:tmpl w:val="E398084C"/>
    <w:lvl w:ilvl="0" w:tentative="0">
      <w:start w:val="2"/>
      <w:numFmt w:val="chineseCounting"/>
      <w:suff w:val="space"/>
      <w:lvlText w:val="第%1条"/>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071609E5"/>
    <w:multiLevelType w:val="multilevel"/>
    <w:tmpl w:val="071609E5"/>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EEA0845"/>
    <w:multiLevelType w:val="multilevel"/>
    <w:tmpl w:val="2EEA0845"/>
    <w:lvl w:ilvl="0" w:tentative="0">
      <w:start w:val="1"/>
      <w:numFmt w:val="decimal"/>
      <w:lvlText w:val="%1．"/>
      <w:lvlJc w:val="left"/>
      <w:pPr>
        <w:tabs>
          <w:tab w:val="left" w:pos="360"/>
        </w:tabs>
        <w:ind w:left="647" w:hanging="227"/>
      </w:pPr>
      <w:rPr>
        <w:rFonts w:hint="default"/>
      </w:rPr>
    </w:lvl>
    <w:lvl w:ilvl="1" w:tentative="0">
      <w:start w:val="2"/>
      <w:numFmt w:val="upperLetter"/>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65203ED3"/>
    <w:multiLevelType w:val="multilevel"/>
    <w:tmpl w:val="65203ED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B3A6AF7"/>
    <w:multiLevelType w:val="multilevel"/>
    <w:tmpl w:val="6B3A6AF7"/>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11">
    <w:nsid w:val="6D786D30"/>
    <w:multiLevelType w:val="singleLevel"/>
    <w:tmpl w:val="6D786D30"/>
    <w:lvl w:ilvl="0" w:tentative="0">
      <w:start w:val="1"/>
      <w:numFmt w:val="bullet"/>
      <w:lvlText w:val=""/>
      <w:lvlJc w:val="left"/>
      <w:pPr>
        <w:tabs>
          <w:tab w:val="left" w:pos="360"/>
        </w:tabs>
        <w:ind w:left="360" w:hanging="360"/>
      </w:pPr>
      <w:rPr>
        <w:rFonts w:hint="default" w:ascii="Symbol" w:hAnsi="Symbol" w:cs="Times New Roman"/>
      </w:rPr>
    </w:lvl>
  </w:abstractNum>
  <w:num w:numId="1">
    <w:abstractNumId w:val="7"/>
  </w:num>
  <w:num w:numId="2">
    <w:abstractNumId w:val="10"/>
  </w:num>
  <w:num w:numId="3">
    <w:abstractNumId w:val="2"/>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维杰">
    <w15:presenceInfo w15:providerId="WPS Office" w15:userId="1617721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2A4846"/>
    <w:rsid w:val="3B5373B6"/>
    <w:rsid w:val="3B677688"/>
    <w:rsid w:val="3C8F1C55"/>
    <w:rsid w:val="3CCF593D"/>
    <w:rsid w:val="3DA0606C"/>
    <w:rsid w:val="3EC01209"/>
    <w:rsid w:val="3EDC78BB"/>
    <w:rsid w:val="3EEB7664"/>
    <w:rsid w:val="435D287E"/>
    <w:rsid w:val="44504B88"/>
    <w:rsid w:val="44B67130"/>
    <w:rsid w:val="456841B6"/>
    <w:rsid w:val="457B6881"/>
    <w:rsid w:val="4656733B"/>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63E288F"/>
    <w:rsid w:val="57162389"/>
    <w:rsid w:val="57575861"/>
    <w:rsid w:val="5AD50E25"/>
    <w:rsid w:val="5C0B1608"/>
    <w:rsid w:val="5CEA2A63"/>
    <w:rsid w:val="5D327E39"/>
    <w:rsid w:val="5D4D3632"/>
    <w:rsid w:val="5ED90E8F"/>
    <w:rsid w:val="603040BB"/>
    <w:rsid w:val="615523A0"/>
    <w:rsid w:val="61A05A1B"/>
    <w:rsid w:val="649D2897"/>
    <w:rsid w:val="64BF3E0B"/>
    <w:rsid w:val="64E26821"/>
    <w:rsid w:val="65207F71"/>
    <w:rsid w:val="66016CC0"/>
    <w:rsid w:val="67C71CC5"/>
    <w:rsid w:val="695C7637"/>
    <w:rsid w:val="6A3805EE"/>
    <w:rsid w:val="6A67750E"/>
    <w:rsid w:val="6CD8518D"/>
    <w:rsid w:val="6ECA7999"/>
    <w:rsid w:val="6F8E4227"/>
    <w:rsid w:val="70E04A7D"/>
    <w:rsid w:val="70F03E6A"/>
    <w:rsid w:val="71B367CA"/>
    <w:rsid w:val="72AF20B0"/>
    <w:rsid w:val="745F5922"/>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Normal_3"/>
    <w:qFormat/>
    <w:uiPriority w:val="0"/>
    <w:rPr>
      <w:rFonts w:ascii="Times New Roman" w:hAnsi="Times New Roman" w:eastAsia="Times New Roman" w:cs="Times New Roman"/>
      <w:sz w:val="24"/>
      <w:szCs w:val="24"/>
      <w:lang w:val="en-US" w:eastAsia="zh-CN" w:bidi="ar-SA"/>
    </w:rPr>
  </w:style>
  <w:style w:type="character" w:customStyle="1" w:styleId="16">
    <w:name w:val="页脚 字符"/>
    <w:basedOn w:val="9"/>
    <w:link w:val="6"/>
    <w:qFormat/>
    <w:uiPriority w:val="0"/>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style>
  <w:style w:type="character" w:customStyle="1" w:styleId="18">
    <w:name w:val="hover15"/>
    <w:basedOn w:val="9"/>
    <w:qFormat/>
    <w:uiPriority w:val="0"/>
  </w:style>
  <w:style w:type="paragraph" w:customStyle="1" w:styleId="19">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2021-11-04T07:57:20Z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