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泡沫敷料等8种医用耗材采购项目</w:t>
      </w: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2021年9月1日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新郑市公立人民医院竞争性磋商公告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泡沫敷料等8种医用耗材采购项目，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泡沫敷料等8种医用耗材采购项目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9632" w:type="dxa"/>
        <w:tblInd w:w="-8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585"/>
        <w:gridCol w:w="7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产品名称</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6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泡沫敷料</w:t>
            </w:r>
          </w:p>
        </w:tc>
        <w:tc>
          <w:tcPr>
            <w:tcW w:w="744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适用于渗出较多的伤口，如下肢溃疡和压疮，II度烧伤、术后伤口和皮肤擦伤，也适用于供皮区创面，为适用的伤口在整个的愈合过程当中提供保护。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6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磺胺嘧啶银水胶体油纱敷料</w:t>
            </w:r>
          </w:p>
        </w:tc>
        <w:tc>
          <w:tcPr>
            <w:tcW w:w="744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从低到高度渗出的严重定植的其它伤口：下肢溃疡，压疮，糖尿病足溃疡；急性浅度烧伤和皮肤擦伤，供皮区和术后切口，以及因细菌严重定植而导致延迟愈合的伤口，或怀疑存在感染危险的伤口，促进伤口的愈合。使用时需与外出敷料配合使用。该产品所含的磺胺嘧啶银仅为复合在水胶体油纱敷料上增加抗菌功能，抗菌为辅助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薄型硅胶泡沫敷料</w:t>
            </w:r>
          </w:p>
        </w:tc>
        <w:tc>
          <w:tcPr>
            <w:tcW w:w="74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伤口湿性愈合及渗出物的处理。适用于多种无渗出/低渗出性伤口。依据医务人员的判断，可以用于正在接受局部抗感染治疗或全身抗感染治疗的患者；适合与加压治疗一起使用；可以和康惠尔清创胶一起用于坏死组织自溶性清创；可以在同一位置最长贴附7天，具体时间长短取决于渗出物的多少、敷料的情况以及伤口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一次性脑科手术用球囊导管套件</w:t>
            </w:r>
          </w:p>
        </w:tc>
        <w:tc>
          <w:tcPr>
            <w:tcW w:w="74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适用于需要脑组织牵开的神经外科手术，建立管状手术通道。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6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一次性脑科手术用球囊导管套件</w:t>
            </w:r>
          </w:p>
        </w:tc>
        <w:tc>
          <w:tcPr>
            <w:tcW w:w="7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6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一次性脑科手术用球囊导管套件</w:t>
            </w:r>
          </w:p>
        </w:tc>
        <w:tc>
          <w:tcPr>
            <w:tcW w:w="7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00"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一次性脑科手术用球囊导管套件</w:t>
            </w:r>
          </w:p>
        </w:tc>
        <w:tc>
          <w:tcPr>
            <w:tcW w:w="74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止血粉</w:t>
            </w:r>
          </w:p>
        </w:tc>
        <w:tc>
          <w:tcPr>
            <w:tcW w:w="7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为局部使用止血产品，用于耳鼻喉科手术中皮肤或粘膜出血的控制，为非永久性植入产品。止血、抑制炎症、减轻疼痛、减少疤痕、加快伤口愈合</w:t>
            </w:r>
          </w:p>
        </w:tc>
      </w:tr>
    </w:tbl>
    <w:p>
      <w:pPr>
        <w:pStyle w:val="2"/>
        <w:rPr>
          <w:rFonts w:hint="eastAsia"/>
          <w:lang w:val="en-US" w:eastAsia="zh-CN"/>
        </w:rPr>
      </w:pPr>
    </w:p>
    <w:p>
      <w:pPr>
        <w:keepNext w:val="0"/>
        <w:keepLines w:val="0"/>
        <w:pageBreakBefore w:val="0"/>
        <w:numPr>
          <w:ilvl w:val="0"/>
          <w:numId w:val="4"/>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5"/>
        </w:numPr>
        <w:kinsoku/>
        <w:wordWrap/>
        <w:overflowPunct/>
        <w:topLinePunct w:val="0"/>
        <w:autoSpaceDE/>
        <w:autoSpaceDN/>
        <w:bidi w:val="0"/>
        <w:adjustRightInd/>
        <w:snapToGrid/>
        <w:spacing w:line="480" w:lineRule="exact"/>
        <w:ind w:firstLine="640" w:firstLineChars="200"/>
        <w:textAlignment w:val="auto"/>
        <w:outlineLvl w:val="9"/>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keepNext w:val="0"/>
        <w:keepLines w:val="0"/>
        <w:pageBreakBefore w:val="0"/>
        <w:numPr>
          <w:ilvl w:val="0"/>
          <w:numId w:val="5"/>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lang w:eastAsia="zh-CN"/>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2、交接方式：</w:t>
      </w:r>
      <w:r>
        <w:rPr>
          <w:rFonts w:hint="eastAsia" w:ascii="仿宋" w:hAnsi="仿宋" w:eastAsia="仿宋" w:cs="仿宋"/>
          <w:color w:val="auto"/>
          <w:spacing w:val="4"/>
          <w:sz w:val="24"/>
          <w:highlight w:val="none"/>
          <w:lang w:eastAsia="zh-CN"/>
        </w:rPr>
        <w:t>乙方</w:t>
      </w:r>
      <w:r>
        <w:rPr>
          <w:rFonts w:hint="eastAsia" w:ascii="仿宋" w:hAnsi="仿宋" w:eastAsia="仿宋" w:cs="仿宋"/>
          <w:color w:val="auto"/>
          <w:spacing w:val="4"/>
          <w:sz w:val="24"/>
          <w:highlight w:val="none"/>
        </w:rPr>
        <w:t>送货至甲方指定地点</w:t>
      </w:r>
      <w:r>
        <w:rPr>
          <w:rFonts w:hint="eastAsia"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3、乙方所供产品在甲方接收前所产生的运送费用及风险由乙方承担。甲方办理验收手续后的所有产品的保管费用由甲方承担。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5、</w:t>
      </w:r>
      <w:r>
        <w:rPr>
          <w:rFonts w:hint="eastAsia" w:ascii="仿宋" w:hAnsi="仿宋" w:eastAsia="仿宋" w:cs="仿宋"/>
          <w:color w:val="auto"/>
          <w:spacing w:val="4"/>
          <w:sz w:val="24"/>
          <w:highlight w:val="none"/>
          <w:lang w:eastAsia="zh-CN"/>
        </w:rPr>
        <w:t>乙方保证所供产品质量符合国家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6、乙方可根据自身情况决定亲自配送耗材或委托第三方配送。货物到达甲方后，甲方应及时验收；甲方在收货后若有异议，须在收货后3日内以电话或书面形式提出。甲方对第三方配送有异议或产生拒收时，应及时通知乙方。对第三方配送过程中产生损坏的耗材，甲方</w:t>
      </w:r>
      <w:r>
        <w:rPr>
          <w:rFonts w:hint="eastAsia" w:ascii="仿宋" w:hAnsi="仿宋" w:eastAsia="仿宋" w:cs="仿宋"/>
          <w:color w:val="auto"/>
          <w:spacing w:val="4"/>
          <w:sz w:val="24"/>
          <w:highlight w:val="none"/>
          <w:lang w:eastAsia="zh-CN"/>
        </w:rPr>
        <w:t>有权</w:t>
      </w:r>
      <w:r>
        <w:rPr>
          <w:rFonts w:hint="eastAsia" w:ascii="仿宋" w:hAnsi="仿宋" w:eastAsia="仿宋" w:cs="仿宋"/>
          <w:color w:val="auto"/>
          <w:spacing w:val="4"/>
          <w:sz w:val="24"/>
          <w:highlight w:val="none"/>
        </w:rPr>
        <w:t>退货。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7、乙方应按甲方需要在甲方指定地点为所供耗材的临床应用进行现场讲解或培训。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Arial" w:hAnsi="Arial" w:cs="Arial"/>
          <w:color w:val="auto"/>
          <w:sz w:val="24"/>
          <w:szCs w:val="24"/>
          <w:highlight w:val="none"/>
          <w:lang w:eastAsia="zh-CN"/>
        </w:rPr>
        <w:t>甲方有权解除本合同，乙方应</w:t>
      </w:r>
      <w:r>
        <w:rPr>
          <w:rFonts w:hint="eastAsia" w:ascii="Arial" w:hAnsi="Arial" w:cs="Arial"/>
          <w:color w:val="auto"/>
          <w:spacing w:val="0"/>
          <w:sz w:val="24"/>
          <w:highlight w:val="none"/>
          <w:lang w:eastAsia="zh-CN"/>
        </w:rPr>
        <w:t>承担</w:t>
      </w:r>
      <w:r>
        <w:rPr>
          <w:rFonts w:hint="eastAsia" w:ascii="Arial" w:hAnsi="Arial" w:eastAsia="宋体" w:cs="Arial"/>
          <w:color w:val="auto"/>
          <w:spacing w:val="0"/>
          <w:sz w:val="24"/>
          <w:highlight w:val="none"/>
        </w:rPr>
        <w:t>年供货量总额的</w:t>
      </w:r>
      <w:r>
        <w:rPr>
          <w:rFonts w:hint="eastAsia" w:ascii="Arial" w:hAnsi="Arial" w:cs="Arial"/>
          <w:color w:val="auto"/>
          <w:sz w:val="24"/>
          <w:szCs w:val="24"/>
          <w:highlight w:val="none"/>
          <w:lang w:eastAsia="zh-CN"/>
        </w:rPr>
        <w:t>百分之二十的违约金。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乙方必须保证所供植入介入性耗材的有效期在半年以上，一经发现有效期不足半年的，甲方有权要求退货处理，由此造成事故责任和经济损失，由乙方全部承担。乙方所供（非植入介入性）产品有效期必须大于三个月，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3、货物售出三个月内，对甲方未使用完要求退货的货物，应先征得乙方同意，且所退货物必须外包装良好、未破损丢失、不得影响乙方正常销售。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r>
        <w:rPr>
          <w:rFonts w:hint="eastAsia" w:ascii="黑体" w:hAnsi="黑体" w:eastAsia="黑体" w:cs="黑体"/>
          <w:sz w:val="32"/>
          <w:szCs w:val="32"/>
        </w:rPr>
        <w:t>附件：</w:t>
      </w:r>
      <w:bookmarkStart w:id="15" w:name="_GoBack"/>
      <w:bookmarkEnd w:id="15"/>
    </w:p>
    <w:tbl>
      <w:tblPr>
        <w:tblStyle w:val="12"/>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18"/>
        <w:gridCol w:w="832"/>
        <w:gridCol w:w="846"/>
        <w:gridCol w:w="2154"/>
        <w:gridCol w:w="1418"/>
        <w:gridCol w:w="76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序号</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注册证产品名称</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规格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型号</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生产厂家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注册证号</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单位</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单价</w:t>
            </w:r>
            <w:r>
              <w:rPr>
                <w:rFonts w:hint="eastAsia" w:ascii="仿宋" w:hAnsi="仿宋" w:eastAsia="仿宋" w:cs="仿宋"/>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w:t>
      </w:r>
      <w:r>
        <w:rPr>
          <w:rFonts w:hint="eastAsia" w:ascii="黑体" w:hAnsi="黑体" w:eastAsia="黑体" w:cs="黑体"/>
          <w:sz w:val="32"/>
          <w:szCs w:val="32"/>
          <w:lang w:eastAsia="zh-CN"/>
        </w:rPr>
        <w:t>投标人需仔细研读合同条款，并将标红信息填写完整，</w:t>
      </w:r>
      <w:r>
        <w:rPr>
          <w:rFonts w:hint="eastAsia" w:ascii="黑体" w:hAnsi="黑体" w:eastAsia="黑体" w:cs="黑体"/>
          <w:sz w:val="32"/>
          <w:szCs w:val="32"/>
        </w:rPr>
        <w:t>合同</w:t>
      </w:r>
      <w:r>
        <w:rPr>
          <w:rFonts w:hint="eastAsia" w:ascii="黑体" w:hAnsi="黑体" w:eastAsia="黑体" w:cs="黑体"/>
          <w:sz w:val="32"/>
          <w:szCs w:val="32"/>
          <w:lang w:eastAsia="zh-CN"/>
        </w:rPr>
        <w:t>最终</w:t>
      </w:r>
      <w:r>
        <w:rPr>
          <w:rFonts w:hint="eastAsia" w:ascii="黑体" w:hAnsi="黑体" w:eastAsia="黑体" w:cs="黑体"/>
          <w:sz w:val="32"/>
          <w:szCs w:val="32"/>
        </w:rPr>
        <w:t>条款以</w:t>
      </w:r>
      <w:r>
        <w:rPr>
          <w:rFonts w:hint="eastAsia" w:ascii="黑体" w:hAnsi="黑体" w:eastAsia="黑体" w:cs="黑体"/>
          <w:sz w:val="32"/>
          <w:szCs w:val="32"/>
          <w:lang w:eastAsia="zh-CN"/>
        </w:rPr>
        <w:t>双方</w:t>
      </w:r>
      <w:r>
        <w:rPr>
          <w:rFonts w:hint="eastAsia" w:ascii="黑体" w:hAnsi="黑体" w:eastAsia="黑体" w:cs="黑体"/>
          <w:sz w:val="32"/>
          <w:szCs w:val="32"/>
        </w:rPr>
        <w:t>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格式自拟（必须有所报产品型号、品牌、单价、总价，省标流水号、国家医保代码（</w:t>
            </w:r>
            <w:r>
              <w:rPr>
                <w:rFonts w:hint="eastAsia" w:ascii="仿宋" w:hAnsi="仿宋" w:eastAsia="仿宋"/>
                <w:b/>
                <w:color w:val="C00000"/>
                <w:sz w:val="22"/>
                <w:szCs w:val="21"/>
                <w:lang w:val="en-US" w:eastAsia="zh-CN"/>
              </w:rPr>
              <w:t>20位或27位</w:t>
            </w:r>
            <w:r>
              <w:rPr>
                <w:rFonts w:hint="eastAsia" w:ascii="仿宋" w:hAnsi="仿宋" w:eastAsia="仿宋"/>
                <w:b/>
                <w:color w:val="C00000"/>
                <w:sz w:val="2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58333636"/>
      <w:bookmarkStart w:id="2" w:name="_Toc10762"/>
      <w:bookmarkStart w:id="3" w:name="_Toc258360269"/>
      <w:bookmarkStart w:id="4" w:name="_Toc320878640"/>
      <w:bookmarkStart w:id="5" w:name="_Toc261708863"/>
      <w:bookmarkStart w:id="6" w:name="_Toc219626747"/>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16AE8B3"/>
    <w:multiLevelType w:val="singleLevel"/>
    <w:tmpl w:val="416AE8B3"/>
    <w:lvl w:ilvl="0" w:tentative="0">
      <w:start w:val="3"/>
      <w:numFmt w:val="decimal"/>
      <w:suff w:val="nothing"/>
      <w:lvlText w:val="%1、"/>
      <w:lvlJc w:val="left"/>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6"/>
  </w:num>
  <w:num w:numId="6">
    <w:abstractNumId w:val="0"/>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0FA84893"/>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26C5CDF"/>
    <w:rsid w:val="245F44FD"/>
    <w:rsid w:val="246624B2"/>
    <w:rsid w:val="24DF7354"/>
    <w:rsid w:val="24FE3AD7"/>
    <w:rsid w:val="25E13CF1"/>
    <w:rsid w:val="2643733F"/>
    <w:rsid w:val="264A511E"/>
    <w:rsid w:val="278100C0"/>
    <w:rsid w:val="288B4898"/>
    <w:rsid w:val="29C6458A"/>
    <w:rsid w:val="2A7E0BB7"/>
    <w:rsid w:val="2B0A7B44"/>
    <w:rsid w:val="2F632DBF"/>
    <w:rsid w:val="30217C48"/>
    <w:rsid w:val="31827FC3"/>
    <w:rsid w:val="32367AE2"/>
    <w:rsid w:val="33F956F6"/>
    <w:rsid w:val="35235DD9"/>
    <w:rsid w:val="384A7AD5"/>
    <w:rsid w:val="3B2A4846"/>
    <w:rsid w:val="3B5373B6"/>
    <w:rsid w:val="3DA0606C"/>
    <w:rsid w:val="3EDC78BB"/>
    <w:rsid w:val="3EEB7664"/>
    <w:rsid w:val="42401995"/>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B1F07B6"/>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2021-05-27T07:48:00Z</cp:lastPrinted>
  <dcterms:modified xsi:type="dcterms:W3CDTF">2021-09-01T07:49:04Z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