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2021年第二批医用耗材采购项目</w:t>
      </w: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2021年9月16日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2021年第二批医用耗材采购项目，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2021年第二批医用耗材采购项目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pStyle w:val="2"/>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5"/>
        </w:numPr>
        <w:ind w:left="0" w:leftChars="0" w:firstLine="640" w:firstLineChars="200"/>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pStyle w:val="2"/>
        <w:numPr>
          <w:ilvl w:val="0"/>
          <w:numId w:val="0"/>
        </w:numPr>
        <w:ind w:leftChars="200"/>
        <w:rPr>
          <w:rFonts w:hint="eastAsia"/>
          <w:lang w:eastAsia="zh-CN"/>
        </w:rPr>
      </w:pP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p>
            <w:pPr>
              <w:pStyle w:val="2"/>
              <w:numPr>
                <w:ilvl w:val="0"/>
                <w:numId w:val="8"/>
              </w:numPr>
              <w:rPr>
                <w:rFonts w:hint="eastAsia"/>
                <w:lang w:val="en-US" w:eastAsia="zh-CN"/>
              </w:rPr>
            </w:pPr>
            <w:r>
              <w:rPr>
                <w:rFonts w:hint="eastAsia"/>
                <w:lang w:val="en-US" w:eastAsia="zh-CN"/>
              </w:rPr>
              <w:t>根据其他优惠条件在0-10分范围内打分</w:t>
            </w:r>
          </w:p>
        </w:tc>
      </w:tr>
    </w:tbl>
    <w:p>
      <w:pPr>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lang w:eastAsia="zh-CN"/>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2、交接方式：</w:t>
      </w:r>
      <w:r>
        <w:rPr>
          <w:rFonts w:hint="eastAsia" w:ascii="仿宋" w:hAnsi="仿宋" w:eastAsia="仿宋" w:cs="仿宋"/>
          <w:color w:val="auto"/>
          <w:spacing w:val="4"/>
          <w:sz w:val="24"/>
          <w:highlight w:val="none"/>
          <w:lang w:eastAsia="zh-CN"/>
        </w:rPr>
        <w:t>乙方</w:t>
      </w:r>
      <w:r>
        <w:rPr>
          <w:rFonts w:hint="eastAsia" w:ascii="仿宋" w:hAnsi="仿宋" w:eastAsia="仿宋" w:cs="仿宋"/>
          <w:color w:val="auto"/>
          <w:spacing w:val="4"/>
          <w:sz w:val="24"/>
          <w:highlight w:val="none"/>
        </w:rPr>
        <w:t>送货至甲方指定地点</w:t>
      </w:r>
      <w:r>
        <w:rPr>
          <w:rFonts w:hint="eastAsia"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3、乙方所供产品在甲方接收前所产生的运送费用及风险由乙方承担。甲方办理验收手续后的所有产品的保管费用由甲方承担。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rPr>
        <w:t>5、</w:t>
      </w:r>
      <w:r>
        <w:rPr>
          <w:rFonts w:hint="eastAsia" w:ascii="仿宋" w:hAnsi="仿宋" w:eastAsia="仿宋" w:cs="仿宋"/>
          <w:color w:val="auto"/>
          <w:spacing w:val="4"/>
          <w:sz w:val="24"/>
          <w:highlight w:val="none"/>
          <w:lang w:eastAsia="zh-CN"/>
        </w:rPr>
        <w:t>乙方保证所供产品质量符合国家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6、乙方可根据自身情况决定亲自配送耗材或委托第三方配送。货物到达甲方后，甲方应及时验收；甲方在收货后若有异议，须在收货后3日内以电话或书面形式提出。甲方对第三方配送有异议或产生拒收时，应及时通知乙方。对第三方配送过程中产生损坏的耗材，甲方</w:t>
      </w:r>
      <w:r>
        <w:rPr>
          <w:rFonts w:hint="eastAsia" w:ascii="仿宋" w:hAnsi="仿宋" w:eastAsia="仿宋" w:cs="仿宋"/>
          <w:color w:val="auto"/>
          <w:spacing w:val="4"/>
          <w:sz w:val="24"/>
          <w:highlight w:val="none"/>
          <w:lang w:eastAsia="zh-CN"/>
        </w:rPr>
        <w:t>有权</w:t>
      </w:r>
      <w:r>
        <w:rPr>
          <w:rFonts w:hint="eastAsia" w:ascii="仿宋" w:hAnsi="仿宋" w:eastAsia="仿宋" w:cs="仿宋"/>
          <w:color w:val="auto"/>
          <w:spacing w:val="4"/>
          <w:sz w:val="24"/>
          <w:highlight w:val="none"/>
        </w:rPr>
        <w:t>退货。</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7、乙方应按甲方需要在甲方指定地点为所供耗材的临床应用进行现场讲解或培训。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1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4、如每年乙方供货不及时超过三次（不可抗力除外），</w:t>
      </w:r>
      <w:r>
        <w:rPr>
          <w:rFonts w:hint="eastAsia" w:ascii="Arial" w:hAnsi="Arial" w:cs="Arial"/>
          <w:color w:val="auto"/>
          <w:sz w:val="24"/>
          <w:szCs w:val="24"/>
          <w:highlight w:val="none"/>
          <w:lang w:eastAsia="zh-CN"/>
        </w:rPr>
        <w:t>甲方有权解除本合同，乙方应</w:t>
      </w:r>
      <w:r>
        <w:rPr>
          <w:rFonts w:hint="eastAsia" w:ascii="Arial" w:hAnsi="Arial" w:cs="Arial"/>
          <w:color w:val="auto"/>
          <w:spacing w:val="0"/>
          <w:sz w:val="24"/>
          <w:highlight w:val="none"/>
          <w:lang w:eastAsia="zh-CN"/>
        </w:rPr>
        <w:t>承担</w:t>
      </w:r>
      <w:r>
        <w:rPr>
          <w:rFonts w:hint="eastAsia" w:ascii="Arial" w:hAnsi="Arial" w:eastAsia="宋体" w:cs="Arial"/>
          <w:color w:val="auto"/>
          <w:spacing w:val="0"/>
          <w:sz w:val="24"/>
          <w:highlight w:val="none"/>
        </w:rPr>
        <w:t>年供货量总额的</w:t>
      </w:r>
      <w:r>
        <w:rPr>
          <w:rFonts w:hint="eastAsia" w:ascii="Arial" w:hAnsi="Arial" w:cs="Arial"/>
          <w:color w:val="auto"/>
          <w:sz w:val="24"/>
          <w:szCs w:val="24"/>
          <w:highlight w:val="none"/>
          <w:lang w:eastAsia="zh-CN"/>
        </w:rPr>
        <w:t>百分之二十的违约金。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乙方必须保证所供植入介入性耗材的有效期在半年以上，一经发现有效期不足半年的，甲方有权要求退货处理，由此造成事故责任和经济损失，由乙方全部承担。乙方所供（非植入介入性）产品有效期必须大于三个月，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3、货物售出三个月内，对甲方未使用完要求退货的货物，应先征得乙方同意，且所退货物必须外包装良好、未破损丢失、不得影响乙方正常销售。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pPr>
      <w:r>
        <w:rPr>
          <w:rFonts w:hint="eastAsia" w:ascii="仿宋" w:hAnsi="仿宋" w:eastAsia="仿宋" w:cs="仿宋"/>
          <w:spacing w:val="4"/>
          <w:sz w:val="24"/>
        </w:rPr>
        <w:t xml:space="preserve">年    月    日                            年    月    日  </w:t>
      </w: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2"/>
        <w:tblW w:w="9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18"/>
        <w:gridCol w:w="832"/>
        <w:gridCol w:w="846"/>
        <w:gridCol w:w="2154"/>
        <w:gridCol w:w="1418"/>
        <w:gridCol w:w="764"/>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序号</w:t>
            </w:r>
          </w:p>
        </w:tc>
        <w:tc>
          <w:tcPr>
            <w:tcW w:w="2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注册证产品名称</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规格</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型号</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生产厂家</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注册证号</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单位</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单价</w:t>
            </w:r>
            <w:r>
              <w:rPr>
                <w:rFonts w:hint="eastAsia" w:ascii="仿宋" w:hAnsi="仿宋" w:eastAsia="仿宋" w:cs="仿宋"/>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exac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仿宋" w:hAnsi="仿宋" w:eastAsia="仿宋" w:cs="仿宋"/>
                <w:sz w:val="21"/>
                <w:szCs w:val="21"/>
                <w:vertAlign w:val="baseline"/>
                <w:lang w:val="en-US" w:eastAsia="zh-CN"/>
              </w:rPr>
            </w:pP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格式自拟（必须有所报产品型号、品牌、单价、总价，省标流水号、国家医保代码（</w:t>
            </w:r>
            <w:r>
              <w:rPr>
                <w:rFonts w:hint="eastAsia" w:ascii="仿宋" w:hAnsi="仿宋" w:eastAsia="仿宋"/>
                <w:b/>
                <w:color w:val="C00000"/>
                <w:sz w:val="22"/>
                <w:szCs w:val="21"/>
                <w:lang w:val="en-US" w:eastAsia="zh-CN"/>
              </w:rPr>
              <w:t>20位或27位</w:t>
            </w:r>
            <w:r>
              <w:rPr>
                <w:rFonts w:hint="eastAsia" w:ascii="仿宋" w:hAnsi="仿宋" w:eastAsia="仿宋"/>
                <w:b/>
                <w:color w:val="C00000"/>
                <w:sz w:val="22"/>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bookmarkStart w:id="15" w:name="_GoBack"/>
            <w:bookmarkEnd w:id="1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0762"/>
      <w:bookmarkStart w:id="1" w:name="_Toc9548"/>
      <w:bookmarkStart w:id="2" w:name="_Toc258333636"/>
      <w:bookmarkStart w:id="3" w:name="_Toc258360269"/>
      <w:bookmarkStart w:id="4" w:name="_Toc320878640"/>
      <w:bookmarkStart w:id="5" w:name="_Toc261708863"/>
      <w:bookmarkStart w:id="6" w:name="_Toc219626747"/>
      <w:bookmarkStart w:id="7" w:name="_Toc15313"/>
      <w:bookmarkStart w:id="8" w:name="_Toc304219257"/>
      <w:bookmarkStart w:id="9" w:name="_Toc248896063"/>
      <w:bookmarkStart w:id="10" w:name="_Toc17030"/>
      <w:bookmarkStart w:id="11" w:name="_Toc258360158"/>
      <w:bookmarkStart w:id="12" w:name="_Toc337554724"/>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416AE8B3"/>
    <w:multiLevelType w:val="singleLevel"/>
    <w:tmpl w:val="416AE8B3"/>
    <w:lvl w:ilvl="0" w:tentative="0">
      <w:start w:val="3"/>
      <w:numFmt w:val="decimal"/>
      <w:suff w:val="nothing"/>
      <w:lvlText w:val="%1、"/>
      <w:lvlJc w:val="left"/>
    </w:lvl>
  </w:abstractNum>
  <w:abstractNum w:abstractNumId="8">
    <w:nsid w:val="55DFCF8B"/>
    <w:multiLevelType w:val="singleLevel"/>
    <w:tmpl w:val="55DFCF8B"/>
    <w:lvl w:ilvl="0" w:tentative="0">
      <w:start w:val="1"/>
      <w:numFmt w:val="decimal"/>
      <w:lvlText w:val="%1."/>
      <w:lvlJc w:val="left"/>
      <w:pPr>
        <w:tabs>
          <w:tab w:val="left" w:pos="312"/>
        </w:tabs>
      </w:p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2"/>
  </w:num>
  <w:num w:numId="4">
    <w:abstractNumId w:val="1"/>
  </w:num>
  <w:num w:numId="5">
    <w:abstractNumId w:val="6"/>
  </w:num>
  <w:num w:numId="6">
    <w:abstractNumId w:val="0"/>
  </w:num>
  <w:num w:numId="7">
    <w:abstractNumId w:val="3"/>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CE95F36"/>
    <w:rsid w:val="0CFB4C25"/>
    <w:rsid w:val="0E5B26BC"/>
    <w:rsid w:val="0E9016D0"/>
    <w:rsid w:val="0E93621F"/>
    <w:rsid w:val="0FA84893"/>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2401398"/>
    <w:rsid w:val="245F44FD"/>
    <w:rsid w:val="246624B2"/>
    <w:rsid w:val="24DF7354"/>
    <w:rsid w:val="24FE3AD7"/>
    <w:rsid w:val="25E13CF1"/>
    <w:rsid w:val="2643733F"/>
    <w:rsid w:val="264A511E"/>
    <w:rsid w:val="278100C0"/>
    <w:rsid w:val="288B4898"/>
    <w:rsid w:val="29C6458A"/>
    <w:rsid w:val="2A7E0BB7"/>
    <w:rsid w:val="2B0A7B44"/>
    <w:rsid w:val="2F632DBF"/>
    <w:rsid w:val="30217C48"/>
    <w:rsid w:val="31827FC3"/>
    <w:rsid w:val="32367AE2"/>
    <w:rsid w:val="33F956F6"/>
    <w:rsid w:val="35235DD9"/>
    <w:rsid w:val="384A7AD5"/>
    <w:rsid w:val="3B2A4846"/>
    <w:rsid w:val="3B5373B6"/>
    <w:rsid w:val="3DA0606C"/>
    <w:rsid w:val="3EDC78BB"/>
    <w:rsid w:val="3EEB7664"/>
    <w:rsid w:val="42401995"/>
    <w:rsid w:val="44504B88"/>
    <w:rsid w:val="44B67130"/>
    <w:rsid w:val="456841B6"/>
    <w:rsid w:val="4656733B"/>
    <w:rsid w:val="46BB2C0A"/>
    <w:rsid w:val="486D7AF7"/>
    <w:rsid w:val="494804BB"/>
    <w:rsid w:val="4B4638AD"/>
    <w:rsid w:val="4B9C1C97"/>
    <w:rsid w:val="4BC500AA"/>
    <w:rsid w:val="4FCE5CD6"/>
    <w:rsid w:val="514F77D3"/>
    <w:rsid w:val="53501B3C"/>
    <w:rsid w:val="537944E4"/>
    <w:rsid w:val="550B217C"/>
    <w:rsid w:val="563E288F"/>
    <w:rsid w:val="57162389"/>
    <w:rsid w:val="57575861"/>
    <w:rsid w:val="5AD50E25"/>
    <w:rsid w:val="5D327E39"/>
    <w:rsid w:val="5D4D3632"/>
    <w:rsid w:val="615523A0"/>
    <w:rsid w:val="649D2897"/>
    <w:rsid w:val="64E26821"/>
    <w:rsid w:val="65207F71"/>
    <w:rsid w:val="66016CC0"/>
    <w:rsid w:val="695C7637"/>
    <w:rsid w:val="6A67750E"/>
    <w:rsid w:val="6B1F07B6"/>
    <w:rsid w:val="6C6413EA"/>
    <w:rsid w:val="6CD8518D"/>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2021-05-27T07:48:00Z</cp:lastPrinted>
  <dcterms:modified xsi:type="dcterms:W3CDTF">2021-09-16T08:01:03Z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