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血栓泵等一批医疗设备及配件采购项目磋商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2021年7月22日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血栓泵等一批医疗设备及配件采购项目，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bookmarkStart w:id="15" w:name="_GoBack"/>
      <w:r>
        <w:rPr>
          <w:rFonts w:hint="eastAsia" w:ascii="仿宋_GB2312" w:eastAsia="仿宋_GB2312"/>
          <w:sz w:val="32"/>
          <w:szCs w:val="32"/>
          <w:lang w:val="en-US" w:eastAsia="zh-CN"/>
        </w:rPr>
        <w:t>血栓泵等一批医疗设备及配件采购项目</w:t>
      </w:r>
      <w:bookmarkEnd w:id="15"/>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862"/>
        <w:gridCol w:w="1078"/>
        <w:gridCol w:w="1140"/>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标段划分</w:t>
            </w:r>
          </w:p>
        </w:tc>
        <w:tc>
          <w:tcPr>
            <w:tcW w:w="1862" w:type="dxa"/>
          </w:tcPr>
          <w:p>
            <w:pPr>
              <w:pStyle w:val="2"/>
              <w:jc w:val="center"/>
              <w:rPr>
                <w:rFonts w:hint="eastAsia"/>
                <w:vertAlign w:val="baseline"/>
                <w:lang w:val="en-US" w:eastAsia="zh-CN"/>
              </w:rPr>
            </w:pPr>
            <w:r>
              <w:rPr>
                <w:rFonts w:hint="eastAsia"/>
                <w:vertAlign w:val="baseline"/>
                <w:lang w:val="en-US" w:eastAsia="zh-CN"/>
              </w:rPr>
              <w:t>标段名称</w:t>
            </w:r>
          </w:p>
        </w:tc>
        <w:tc>
          <w:tcPr>
            <w:tcW w:w="1078" w:type="dxa"/>
          </w:tcPr>
          <w:p>
            <w:pPr>
              <w:pStyle w:val="2"/>
              <w:jc w:val="center"/>
              <w:rPr>
                <w:rFonts w:hint="eastAsia"/>
                <w:vertAlign w:val="baseline"/>
                <w:lang w:val="en-US" w:eastAsia="zh-CN"/>
              </w:rPr>
            </w:pPr>
            <w:r>
              <w:rPr>
                <w:rFonts w:hint="eastAsia"/>
                <w:vertAlign w:val="baseline"/>
                <w:lang w:val="en-US" w:eastAsia="zh-CN"/>
              </w:rPr>
              <w:t>单位</w:t>
            </w:r>
          </w:p>
        </w:tc>
        <w:tc>
          <w:tcPr>
            <w:tcW w:w="1140" w:type="dxa"/>
          </w:tcPr>
          <w:p>
            <w:pPr>
              <w:pStyle w:val="2"/>
              <w:jc w:val="center"/>
              <w:rPr>
                <w:rFonts w:hint="eastAsia"/>
                <w:vertAlign w:val="baseline"/>
                <w:lang w:val="en-US" w:eastAsia="zh-CN"/>
              </w:rPr>
            </w:pPr>
            <w:r>
              <w:rPr>
                <w:rFonts w:hint="eastAsia"/>
                <w:vertAlign w:val="baseline"/>
                <w:lang w:val="en-US" w:eastAsia="zh-CN"/>
              </w:rPr>
              <w:t>数量</w:t>
            </w:r>
          </w:p>
        </w:tc>
        <w:tc>
          <w:tcPr>
            <w:tcW w:w="2896" w:type="dxa"/>
          </w:tcPr>
          <w:p>
            <w:pPr>
              <w:pStyle w:val="2"/>
              <w:jc w:val="center"/>
              <w:rPr>
                <w:rFonts w:hint="eastAsia"/>
                <w:vertAlign w:val="baseline"/>
                <w:lang w:val="en-US" w:eastAsia="zh-CN"/>
              </w:rPr>
            </w:pPr>
            <w:r>
              <w:rPr>
                <w:rFonts w:hint="eastAsia"/>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标段一</w:t>
            </w:r>
          </w:p>
        </w:tc>
        <w:tc>
          <w:tcPr>
            <w:tcW w:w="1862" w:type="dxa"/>
          </w:tcPr>
          <w:p>
            <w:pPr>
              <w:pStyle w:val="2"/>
              <w:jc w:val="center"/>
              <w:rPr>
                <w:rFonts w:hint="eastAsia"/>
                <w:vertAlign w:val="baseline"/>
                <w:lang w:val="en-US" w:eastAsia="zh-CN"/>
              </w:rPr>
            </w:pPr>
            <w:r>
              <w:rPr>
                <w:rFonts w:hint="eastAsia"/>
                <w:vertAlign w:val="baseline"/>
                <w:lang w:val="en-US" w:eastAsia="zh-CN"/>
              </w:rPr>
              <w:t>血栓泵</w:t>
            </w:r>
          </w:p>
        </w:tc>
        <w:tc>
          <w:tcPr>
            <w:tcW w:w="1078" w:type="dxa"/>
          </w:tcPr>
          <w:p>
            <w:pPr>
              <w:pStyle w:val="2"/>
              <w:jc w:val="center"/>
              <w:rPr>
                <w:rFonts w:hint="eastAsia"/>
                <w:vertAlign w:val="baseline"/>
                <w:lang w:val="en-US" w:eastAsia="zh-CN"/>
              </w:rPr>
            </w:pPr>
            <w:r>
              <w:rPr>
                <w:rFonts w:hint="eastAsia"/>
                <w:vertAlign w:val="baseline"/>
                <w:lang w:val="en-US" w:eastAsia="zh-CN"/>
              </w:rPr>
              <w:t>台</w:t>
            </w:r>
          </w:p>
        </w:tc>
        <w:tc>
          <w:tcPr>
            <w:tcW w:w="1140" w:type="dxa"/>
          </w:tcPr>
          <w:p>
            <w:pPr>
              <w:pStyle w:val="2"/>
              <w:jc w:val="center"/>
              <w:rPr>
                <w:rFonts w:hint="eastAsia"/>
                <w:vertAlign w:val="baseline"/>
                <w:lang w:val="en-US" w:eastAsia="zh-CN"/>
              </w:rPr>
            </w:pPr>
            <w:r>
              <w:rPr>
                <w:rFonts w:hint="eastAsia"/>
                <w:vertAlign w:val="baseline"/>
                <w:lang w:val="en-US" w:eastAsia="zh-CN"/>
              </w:rPr>
              <w:t>1</w:t>
            </w:r>
          </w:p>
        </w:tc>
        <w:tc>
          <w:tcPr>
            <w:tcW w:w="2896" w:type="dxa"/>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标段二</w:t>
            </w:r>
          </w:p>
        </w:tc>
        <w:tc>
          <w:tcPr>
            <w:tcW w:w="1862" w:type="dxa"/>
          </w:tcPr>
          <w:p>
            <w:pPr>
              <w:pStyle w:val="2"/>
              <w:jc w:val="center"/>
              <w:rPr>
                <w:rFonts w:hint="eastAsia"/>
                <w:vertAlign w:val="baseline"/>
                <w:lang w:val="en-US" w:eastAsia="zh-CN"/>
              </w:rPr>
            </w:pPr>
            <w:r>
              <w:rPr>
                <w:rFonts w:hint="eastAsia"/>
                <w:vertAlign w:val="baseline"/>
                <w:lang w:val="en-US" w:eastAsia="zh-CN"/>
              </w:rPr>
              <w:t>无创呼吸机</w:t>
            </w:r>
          </w:p>
        </w:tc>
        <w:tc>
          <w:tcPr>
            <w:tcW w:w="1078" w:type="dxa"/>
          </w:tcPr>
          <w:p>
            <w:pPr>
              <w:pStyle w:val="2"/>
              <w:jc w:val="center"/>
              <w:rPr>
                <w:rFonts w:hint="eastAsia"/>
                <w:vertAlign w:val="baseline"/>
                <w:lang w:val="en-US" w:eastAsia="zh-CN"/>
              </w:rPr>
            </w:pPr>
            <w:r>
              <w:rPr>
                <w:rFonts w:hint="eastAsia"/>
                <w:vertAlign w:val="baseline"/>
                <w:lang w:val="en-US" w:eastAsia="zh-CN"/>
              </w:rPr>
              <w:t>台</w:t>
            </w:r>
          </w:p>
        </w:tc>
        <w:tc>
          <w:tcPr>
            <w:tcW w:w="1140" w:type="dxa"/>
          </w:tcPr>
          <w:p>
            <w:pPr>
              <w:pStyle w:val="2"/>
              <w:jc w:val="center"/>
              <w:rPr>
                <w:rFonts w:hint="eastAsia"/>
                <w:vertAlign w:val="baseline"/>
                <w:lang w:val="en-US" w:eastAsia="zh-CN"/>
              </w:rPr>
            </w:pPr>
            <w:r>
              <w:rPr>
                <w:rFonts w:hint="eastAsia"/>
                <w:vertAlign w:val="baseline"/>
                <w:lang w:val="en-US" w:eastAsia="zh-CN"/>
              </w:rPr>
              <w:t>1</w:t>
            </w:r>
          </w:p>
        </w:tc>
        <w:tc>
          <w:tcPr>
            <w:tcW w:w="2896" w:type="dxa"/>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标段三</w:t>
            </w:r>
          </w:p>
        </w:tc>
        <w:tc>
          <w:tcPr>
            <w:tcW w:w="1862" w:type="dxa"/>
          </w:tcPr>
          <w:p>
            <w:pPr>
              <w:pStyle w:val="2"/>
              <w:jc w:val="center"/>
              <w:rPr>
                <w:rFonts w:hint="eastAsia"/>
                <w:vertAlign w:val="baseline"/>
                <w:lang w:val="en-US" w:eastAsia="zh-CN"/>
              </w:rPr>
            </w:pPr>
            <w:r>
              <w:rPr>
                <w:rFonts w:hint="eastAsia"/>
                <w:vertAlign w:val="baseline"/>
                <w:lang w:val="en-US" w:eastAsia="zh-CN"/>
              </w:rPr>
              <w:t>洗浴床</w:t>
            </w:r>
          </w:p>
        </w:tc>
        <w:tc>
          <w:tcPr>
            <w:tcW w:w="1078" w:type="dxa"/>
          </w:tcPr>
          <w:p>
            <w:pPr>
              <w:pStyle w:val="2"/>
              <w:jc w:val="center"/>
              <w:rPr>
                <w:rFonts w:hint="eastAsia"/>
                <w:vertAlign w:val="baseline"/>
                <w:lang w:val="en-US" w:eastAsia="zh-CN"/>
              </w:rPr>
            </w:pPr>
            <w:r>
              <w:rPr>
                <w:rFonts w:hint="eastAsia"/>
                <w:vertAlign w:val="baseline"/>
                <w:lang w:val="en-US" w:eastAsia="zh-CN"/>
              </w:rPr>
              <w:t>台</w:t>
            </w:r>
          </w:p>
        </w:tc>
        <w:tc>
          <w:tcPr>
            <w:tcW w:w="1140" w:type="dxa"/>
          </w:tcPr>
          <w:p>
            <w:pPr>
              <w:pStyle w:val="2"/>
              <w:jc w:val="center"/>
              <w:rPr>
                <w:rFonts w:hint="eastAsia"/>
                <w:vertAlign w:val="baseline"/>
                <w:lang w:val="en-US" w:eastAsia="zh-CN"/>
              </w:rPr>
            </w:pPr>
            <w:r>
              <w:rPr>
                <w:rFonts w:hint="eastAsia"/>
                <w:vertAlign w:val="baseline"/>
                <w:lang w:val="en-US" w:eastAsia="zh-CN"/>
              </w:rPr>
              <w:t>1</w:t>
            </w:r>
          </w:p>
        </w:tc>
        <w:tc>
          <w:tcPr>
            <w:tcW w:w="2896" w:type="dxa"/>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标段四</w:t>
            </w:r>
          </w:p>
        </w:tc>
        <w:tc>
          <w:tcPr>
            <w:tcW w:w="1862" w:type="dxa"/>
          </w:tcPr>
          <w:p>
            <w:pPr>
              <w:pStyle w:val="2"/>
              <w:jc w:val="center"/>
              <w:rPr>
                <w:rFonts w:hint="eastAsia"/>
                <w:vertAlign w:val="baseline"/>
                <w:lang w:val="en-US" w:eastAsia="zh-CN"/>
              </w:rPr>
            </w:pPr>
            <w:r>
              <w:rPr>
                <w:rFonts w:hint="eastAsia"/>
                <w:vertAlign w:val="baseline"/>
                <w:lang w:val="en-US" w:eastAsia="zh-CN"/>
              </w:rPr>
              <w:t>气垫床</w:t>
            </w:r>
          </w:p>
        </w:tc>
        <w:tc>
          <w:tcPr>
            <w:tcW w:w="1078" w:type="dxa"/>
          </w:tcPr>
          <w:p>
            <w:pPr>
              <w:pStyle w:val="2"/>
              <w:jc w:val="center"/>
              <w:rPr>
                <w:rFonts w:hint="eastAsia"/>
                <w:vertAlign w:val="baseline"/>
                <w:lang w:val="en-US" w:eastAsia="zh-CN"/>
              </w:rPr>
            </w:pPr>
            <w:r>
              <w:rPr>
                <w:rFonts w:hint="eastAsia"/>
                <w:vertAlign w:val="baseline"/>
                <w:lang w:val="en-US" w:eastAsia="zh-CN"/>
              </w:rPr>
              <w:t>个</w:t>
            </w:r>
          </w:p>
        </w:tc>
        <w:tc>
          <w:tcPr>
            <w:tcW w:w="1140" w:type="dxa"/>
          </w:tcPr>
          <w:p>
            <w:pPr>
              <w:pStyle w:val="2"/>
              <w:jc w:val="center"/>
              <w:rPr>
                <w:rFonts w:hint="eastAsia"/>
                <w:vertAlign w:val="baseline"/>
                <w:lang w:val="en-US" w:eastAsia="zh-CN"/>
              </w:rPr>
            </w:pPr>
            <w:r>
              <w:rPr>
                <w:rFonts w:hint="eastAsia"/>
                <w:vertAlign w:val="baseline"/>
                <w:lang w:val="en-US" w:eastAsia="zh-CN"/>
              </w:rPr>
              <w:t>5</w:t>
            </w:r>
          </w:p>
        </w:tc>
        <w:tc>
          <w:tcPr>
            <w:tcW w:w="2896" w:type="dxa"/>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标段五</w:t>
            </w:r>
          </w:p>
        </w:tc>
        <w:tc>
          <w:tcPr>
            <w:tcW w:w="1862" w:type="dxa"/>
          </w:tcPr>
          <w:p>
            <w:pPr>
              <w:pStyle w:val="2"/>
              <w:jc w:val="center"/>
              <w:rPr>
                <w:rFonts w:hint="eastAsia"/>
                <w:vertAlign w:val="baseline"/>
                <w:lang w:val="en-US" w:eastAsia="zh-CN"/>
              </w:rPr>
            </w:pPr>
            <w:r>
              <w:rPr>
                <w:rFonts w:hint="eastAsia"/>
                <w:vertAlign w:val="baseline"/>
                <w:lang w:val="en-US" w:eastAsia="zh-CN"/>
              </w:rPr>
              <w:t>胰岛素泵</w:t>
            </w:r>
          </w:p>
        </w:tc>
        <w:tc>
          <w:tcPr>
            <w:tcW w:w="1078" w:type="dxa"/>
          </w:tcPr>
          <w:p>
            <w:pPr>
              <w:pStyle w:val="2"/>
              <w:jc w:val="center"/>
              <w:rPr>
                <w:rFonts w:hint="eastAsia"/>
                <w:vertAlign w:val="baseline"/>
                <w:lang w:val="en-US" w:eastAsia="zh-CN"/>
              </w:rPr>
            </w:pPr>
            <w:r>
              <w:rPr>
                <w:rFonts w:hint="eastAsia"/>
                <w:vertAlign w:val="baseline"/>
                <w:lang w:val="en-US" w:eastAsia="zh-CN"/>
              </w:rPr>
              <w:t>台</w:t>
            </w:r>
          </w:p>
        </w:tc>
        <w:tc>
          <w:tcPr>
            <w:tcW w:w="1140" w:type="dxa"/>
          </w:tcPr>
          <w:p>
            <w:pPr>
              <w:pStyle w:val="2"/>
              <w:jc w:val="center"/>
              <w:rPr>
                <w:rFonts w:hint="eastAsia"/>
                <w:vertAlign w:val="baseline"/>
                <w:lang w:val="en-US" w:eastAsia="zh-CN"/>
              </w:rPr>
            </w:pPr>
            <w:r>
              <w:rPr>
                <w:rFonts w:hint="eastAsia"/>
                <w:vertAlign w:val="baseline"/>
                <w:lang w:val="en-US" w:eastAsia="zh-CN"/>
              </w:rPr>
              <w:t>1</w:t>
            </w:r>
          </w:p>
        </w:tc>
        <w:tc>
          <w:tcPr>
            <w:tcW w:w="2896" w:type="dxa"/>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标段六</w:t>
            </w:r>
          </w:p>
        </w:tc>
        <w:tc>
          <w:tcPr>
            <w:tcW w:w="1862" w:type="dxa"/>
          </w:tcPr>
          <w:p>
            <w:pPr>
              <w:pStyle w:val="2"/>
              <w:jc w:val="center"/>
              <w:rPr>
                <w:rFonts w:hint="eastAsia"/>
                <w:vertAlign w:val="baseline"/>
                <w:lang w:val="en-US" w:eastAsia="zh-CN"/>
              </w:rPr>
            </w:pPr>
            <w:r>
              <w:rPr>
                <w:rFonts w:hint="eastAsia"/>
                <w:vertAlign w:val="baseline"/>
                <w:lang w:val="en-US" w:eastAsia="zh-CN"/>
              </w:rPr>
              <w:t>长弯接头接头</w:t>
            </w:r>
          </w:p>
        </w:tc>
        <w:tc>
          <w:tcPr>
            <w:tcW w:w="1078" w:type="dxa"/>
          </w:tcPr>
          <w:p>
            <w:pPr>
              <w:pStyle w:val="2"/>
              <w:jc w:val="center"/>
              <w:rPr>
                <w:rFonts w:hint="eastAsia"/>
                <w:vertAlign w:val="baseline"/>
                <w:lang w:val="en-US" w:eastAsia="zh-CN"/>
              </w:rPr>
            </w:pPr>
            <w:r>
              <w:rPr>
                <w:rFonts w:hint="eastAsia"/>
                <w:vertAlign w:val="baseline"/>
                <w:lang w:val="en-US" w:eastAsia="zh-CN"/>
              </w:rPr>
              <w:t>把</w:t>
            </w:r>
          </w:p>
        </w:tc>
        <w:tc>
          <w:tcPr>
            <w:tcW w:w="1140" w:type="dxa"/>
          </w:tcPr>
          <w:p>
            <w:pPr>
              <w:pStyle w:val="2"/>
              <w:jc w:val="center"/>
              <w:rPr>
                <w:rFonts w:hint="eastAsia"/>
                <w:vertAlign w:val="baseline"/>
                <w:lang w:val="en-US" w:eastAsia="zh-CN"/>
              </w:rPr>
            </w:pPr>
            <w:r>
              <w:rPr>
                <w:rFonts w:hint="eastAsia"/>
                <w:vertAlign w:val="baseline"/>
                <w:lang w:val="en-US" w:eastAsia="zh-CN"/>
              </w:rPr>
              <w:t>1</w:t>
            </w:r>
          </w:p>
        </w:tc>
        <w:tc>
          <w:tcPr>
            <w:tcW w:w="2896" w:type="dxa"/>
          </w:tcPr>
          <w:p>
            <w:pPr>
              <w:pStyle w:val="2"/>
              <w:jc w:val="center"/>
              <w:rPr>
                <w:rFonts w:hint="eastAsia"/>
                <w:vertAlign w:val="baseline"/>
                <w:lang w:val="en-US" w:eastAsia="zh-CN"/>
              </w:rPr>
            </w:pPr>
            <w:r>
              <w:rPr>
                <w:rFonts w:hint="eastAsia"/>
                <w:vertAlign w:val="baseline"/>
                <w:lang w:val="en-US" w:eastAsia="zh-CN"/>
              </w:rPr>
              <w:t>用于开展经鼻垂体瘤切除术时的颅底打磨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6" w:type="dxa"/>
          </w:tcPr>
          <w:p>
            <w:pPr>
              <w:pStyle w:val="2"/>
              <w:jc w:val="center"/>
              <w:rPr>
                <w:rFonts w:hint="eastAsia"/>
                <w:vertAlign w:val="baseline"/>
                <w:lang w:val="en-US" w:eastAsia="zh-CN"/>
              </w:rPr>
            </w:pPr>
            <w:r>
              <w:rPr>
                <w:rFonts w:hint="eastAsia"/>
                <w:vertAlign w:val="baseline"/>
                <w:lang w:val="en-US" w:eastAsia="zh-CN"/>
              </w:rPr>
              <w:t>标段七</w:t>
            </w:r>
          </w:p>
        </w:tc>
        <w:tc>
          <w:tcPr>
            <w:tcW w:w="1862" w:type="dxa"/>
          </w:tcPr>
          <w:p>
            <w:pPr>
              <w:pStyle w:val="2"/>
              <w:jc w:val="center"/>
              <w:rPr>
                <w:rFonts w:hint="eastAsia"/>
                <w:vertAlign w:val="baseline"/>
                <w:lang w:val="en-US" w:eastAsia="zh-CN"/>
              </w:rPr>
            </w:pPr>
            <w:r>
              <w:rPr>
                <w:rFonts w:hint="eastAsia"/>
                <w:vertAlign w:val="baseline"/>
                <w:lang w:val="en-US" w:eastAsia="zh-CN"/>
              </w:rPr>
              <w:t>腹腔镜镜头</w:t>
            </w:r>
          </w:p>
        </w:tc>
        <w:tc>
          <w:tcPr>
            <w:tcW w:w="1078" w:type="dxa"/>
          </w:tcPr>
          <w:p>
            <w:pPr>
              <w:pStyle w:val="2"/>
              <w:jc w:val="center"/>
              <w:rPr>
                <w:rFonts w:hint="eastAsia"/>
                <w:vertAlign w:val="baseline"/>
                <w:lang w:val="en-US" w:eastAsia="zh-CN"/>
              </w:rPr>
            </w:pPr>
            <w:r>
              <w:rPr>
                <w:rFonts w:hint="eastAsia"/>
                <w:vertAlign w:val="baseline"/>
                <w:lang w:val="en-US" w:eastAsia="zh-CN"/>
              </w:rPr>
              <w:t>根</w:t>
            </w:r>
          </w:p>
        </w:tc>
        <w:tc>
          <w:tcPr>
            <w:tcW w:w="1140" w:type="dxa"/>
          </w:tcPr>
          <w:p>
            <w:pPr>
              <w:pStyle w:val="2"/>
              <w:jc w:val="center"/>
              <w:rPr>
                <w:rFonts w:hint="eastAsia"/>
                <w:vertAlign w:val="baseline"/>
                <w:lang w:val="en-US" w:eastAsia="zh-CN"/>
              </w:rPr>
            </w:pPr>
            <w:r>
              <w:rPr>
                <w:rFonts w:hint="eastAsia"/>
                <w:vertAlign w:val="baseline"/>
                <w:lang w:val="en-US" w:eastAsia="zh-CN"/>
              </w:rPr>
              <w:t>2</w:t>
            </w:r>
          </w:p>
        </w:tc>
        <w:tc>
          <w:tcPr>
            <w:tcW w:w="2896" w:type="dxa"/>
          </w:tcPr>
          <w:p>
            <w:pPr>
              <w:pStyle w:val="2"/>
              <w:jc w:val="center"/>
              <w:rPr>
                <w:rFonts w:hint="eastAsia"/>
                <w:vertAlign w:val="baseline"/>
                <w:lang w:val="en-US" w:eastAsia="zh-CN"/>
              </w:rPr>
            </w:pPr>
            <w:r>
              <w:rPr>
                <w:rFonts w:hint="eastAsia"/>
                <w:vertAlign w:val="baseline"/>
                <w:lang w:val="en-US" w:eastAsia="zh-CN"/>
              </w:rPr>
              <w:t>用于开展微创手术</w:t>
            </w:r>
          </w:p>
        </w:tc>
      </w:tr>
    </w:tbl>
    <w:p>
      <w:pPr>
        <w:pStyle w:val="2"/>
        <w:rPr>
          <w:rFonts w:hint="eastAsia"/>
          <w:lang w:val="en-US" w:eastAsia="zh-CN"/>
        </w:rPr>
      </w:pPr>
    </w:p>
    <w:p>
      <w:pPr>
        <w:pStyle w:val="2"/>
        <w:ind w:firstLine="960" w:firstLineChars="3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561"/>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61"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02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61"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02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6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61"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02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561"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020"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根据产品的售后方案在0-7分范围内进行打分</w:t>
            </w:r>
          </w:p>
        </w:tc>
      </w:tr>
    </w:tbl>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整机免费质保期为3年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320878640"/>
      <w:bookmarkStart w:id="5" w:name="_Toc9548"/>
      <w:bookmarkStart w:id="6" w:name="_Toc219626747"/>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827FC3"/>
    <w:rsid w:val="32367AE2"/>
    <w:rsid w:val="33F956F6"/>
    <w:rsid w:val="35235DD9"/>
    <w:rsid w:val="35803DCD"/>
    <w:rsid w:val="384A7AD5"/>
    <w:rsid w:val="3AD243FA"/>
    <w:rsid w:val="3B2A4846"/>
    <w:rsid w:val="3B5373B6"/>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2021-07-22T03:42:23Z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