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双极等离子电切套件采购项目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2021年8月27日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双极等离子电切套件采购项目，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双极等离子电切套件采购项目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配套宫腔镜手术使用的双极等离子电切套件一套，详细参数见附件。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bookmarkStart w:id="15" w:name="_GoBack"/>
      <w:bookmarkEnd w:id="15"/>
      <w:r>
        <w:rPr>
          <w:rFonts w:hint="eastAsia" w:ascii="仿宋_GB2312" w:eastAsia="仿宋_GB2312"/>
          <w:sz w:val="32"/>
          <w:szCs w:val="32"/>
        </w:rPr>
        <w:t>）】</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561"/>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61"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02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61"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02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6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61"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02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561"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020"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8"/>
              </w:numPr>
              <w:rPr>
                <w:rFonts w:hint="eastAsia"/>
                <w:lang w:val="en-US" w:eastAsia="zh-CN"/>
              </w:rPr>
            </w:pPr>
            <w:r>
              <w:rPr>
                <w:rFonts w:hint="eastAsia"/>
                <w:lang w:val="en-US" w:eastAsia="zh-CN"/>
              </w:rPr>
              <w:t>根据产品的售后方案在0-7分范围内进行打分</w:t>
            </w:r>
          </w:p>
        </w:tc>
      </w:tr>
    </w:tbl>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eastAsia="zh-CN"/>
        </w:rPr>
        <w:t>医疗设备</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3、设备运至甲方指定地点，乙方应指派工程师安装，安装完成后应对甲方医生和相关操作人员进行设备操作和清洗消毒的免费培训，直至甲方操作人员能熟练操作为止，乙方承担培训的薪资、差旅等全部费用。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免费原厂保修期1年；质保期过后厂家免费维修，不换配件不收费。每半年免费保养一次</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乙方技术人员负责对所供设备保修期内每3个月进行一次免费巡检保养，保修期外每半年维护保养一次，直至设备报废。巡检保养时请通知医学装备部医疗设备维修人员（联系电话：0371-56829202），否则，视为未巡检；免费质保期内如果出现三次以上因质量问题引起的故障（人为因素除外），乙方应负责免费更换全套新设备，更换设备按更换日期重新计免费质保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2、乙方如果不能按时提供甲方所需的合格设备，由此影响了甲方正常工作，甲方有权终止合同，如果甲方要求乙方继续供货，乙方从合同约定交货之日起按每日总货款的2%赔付，直至货到之日为止。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9548"/>
      <w:bookmarkStart w:id="5" w:name="_Toc219626747"/>
      <w:bookmarkStart w:id="6" w:name="_Toc320878640"/>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BEA6CCE"/>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78100C0"/>
    <w:rsid w:val="288B4898"/>
    <w:rsid w:val="2A7E0BB7"/>
    <w:rsid w:val="2B0A7B44"/>
    <w:rsid w:val="2ED21247"/>
    <w:rsid w:val="2F632DBF"/>
    <w:rsid w:val="30217C48"/>
    <w:rsid w:val="31827FC3"/>
    <w:rsid w:val="32367AE2"/>
    <w:rsid w:val="33F956F6"/>
    <w:rsid w:val="35235DD9"/>
    <w:rsid w:val="35803DCD"/>
    <w:rsid w:val="38303C5D"/>
    <w:rsid w:val="384A7AD5"/>
    <w:rsid w:val="3AD243FA"/>
    <w:rsid w:val="3B2A4846"/>
    <w:rsid w:val="3B5373B6"/>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FCE5CD6"/>
    <w:rsid w:val="514F77D3"/>
    <w:rsid w:val="53501B3C"/>
    <w:rsid w:val="550B217C"/>
    <w:rsid w:val="563E288F"/>
    <w:rsid w:val="57162389"/>
    <w:rsid w:val="57575861"/>
    <w:rsid w:val="5AD50E25"/>
    <w:rsid w:val="5D327E39"/>
    <w:rsid w:val="5D4D3632"/>
    <w:rsid w:val="5ED90E8F"/>
    <w:rsid w:val="615523A0"/>
    <w:rsid w:val="649D2897"/>
    <w:rsid w:val="64BF3E0B"/>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2021-08-31T00:36:29Z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