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磁共振技术维保服务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磁共振技术维保服务项目，</w:t>
      </w:r>
      <w:r>
        <w:rPr>
          <w:rFonts w:hint="eastAsia" w:ascii="仿宋_GB2312" w:eastAsia="仿宋_GB2312"/>
          <w:sz w:val="32"/>
          <w:szCs w:val="32"/>
          <w:lang w:eastAsia="zh-CN"/>
        </w:rPr>
        <w:t>具体事宜公布如下：</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一、项目名称</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磁共振技术维保服务</w:t>
      </w:r>
      <w:r>
        <w:rPr>
          <w:rFonts w:hint="eastAsia" w:ascii="仿宋_GB2312" w:eastAsia="仿宋_GB2312"/>
          <w:sz w:val="32"/>
          <w:szCs w:val="32"/>
        </w:rPr>
        <w:t>。</w:t>
      </w:r>
    </w:p>
    <w:p>
      <w:pPr>
        <w:pageBreakBefore w:val="0"/>
        <w:numPr>
          <w:ilvl w:val="0"/>
          <w:numId w:val="4"/>
        </w:numPr>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pStyle w:val="3"/>
        <w:pageBreakBefore w:val="0"/>
        <w:widowControl w:val="0"/>
        <w:kinsoku/>
        <w:wordWrap/>
        <w:overflowPunct/>
        <w:topLinePunct w:val="0"/>
        <w:autoSpaceDE/>
        <w:autoSpaceDN/>
        <w:bidi w:val="0"/>
        <w:adjustRightInd/>
        <w:snapToGrid/>
        <w:spacing w:line="520" w:lineRule="exact"/>
        <w:textAlignment w:val="auto"/>
      </w:pPr>
      <w:r>
        <w:rPr>
          <w:rFonts w:hint="eastAsia" w:ascii="黑体" w:eastAsia="黑体"/>
          <w:sz w:val="32"/>
          <w:szCs w:val="32"/>
          <w:lang w:val="en-US" w:eastAsia="zh-CN"/>
        </w:rPr>
        <w:t>项目详情：</w:t>
      </w:r>
      <w:bookmarkStart w:id="0" w:name="_Toc14376"/>
      <w:bookmarkStart w:id="1" w:name="_Toc11945"/>
      <w:r>
        <w:t>1</w:t>
      </w:r>
      <w:r>
        <w:rPr>
          <w:rFonts w:hint="eastAsia"/>
        </w:rPr>
        <w:t>维修事项</w:t>
      </w:r>
      <w:bookmarkEnd w:id="0"/>
      <w:bookmarkEnd w:id="1"/>
    </w:p>
    <w:p>
      <w:pPr>
        <w:pStyle w:val="16"/>
        <w:pageBreakBefore w:val="0"/>
        <w:widowControl w:val="0"/>
        <w:tabs>
          <w:tab w:val="left" w:pos="683"/>
        </w:tabs>
        <w:kinsoku/>
        <w:wordWrap/>
        <w:overflowPunct/>
        <w:topLinePunct w:val="0"/>
        <w:autoSpaceDE/>
        <w:autoSpaceDN/>
        <w:bidi w:val="0"/>
        <w:adjustRightInd/>
        <w:snapToGrid/>
        <w:spacing w:line="520" w:lineRule="exact"/>
        <w:ind w:left="690" w:leftChars="100" w:hanging="480" w:hangingChars="1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Cs/>
          <w:kern w:val="0"/>
          <w:sz w:val="32"/>
          <w:szCs w:val="32"/>
        </w:rPr>
        <w:t>全年无限次人工服务（包含西门子3.0T核磁共振MAGNETOM Spectra系统和南京立科外水冷机）</w:t>
      </w:r>
    </w:p>
    <w:p>
      <w:pPr>
        <w:pStyle w:val="16"/>
        <w:pageBreakBefore w:val="0"/>
        <w:widowControl w:val="0"/>
        <w:tabs>
          <w:tab w:val="left" w:pos="683"/>
        </w:tabs>
        <w:kinsoku/>
        <w:wordWrap/>
        <w:overflowPunct/>
        <w:topLinePunct w:val="0"/>
        <w:autoSpaceDE/>
        <w:autoSpaceDN/>
        <w:bidi w:val="0"/>
        <w:adjustRightInd/>
        <w:snapToGrid/>
        <w:spacing w:line="520" w:lineRule="exact"/>
        <w:ind w:left="690" w:leftChars="100" w:hanging="480" w:hangingChars="1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2工程师持证上岗（要求郑州区域内有西门子3.0T核磁共振MAGNETOM Spectra维修资质的工程师，并提供有资质的工程师近6个月郑州市社保，原西门子培训证书，原西门子劳动合同备查。）</w:t>
      </w:r>
    </w:p>
    <w:p>
      <w:pPr>
        <w:pStyle w:val="16"/>
        <w:pageBreakBefore w:val="0"/>
        <w:widowControl w:val="0"/>
        <w:tabs>
          <w:tab w:val="left" w:pos="683"/>
        </w:tabs>
        <w:kinsoku/>
        <w:wordWrap/>
        <w:overflowPunct/>
        <w:topLinePunct w:val="0"/>
        <w:autoSpaceDE/>
        <w:autoSpaceDN/>
        <w:bidi w:val="0"/>
        <w:adjustRightInd/>
        <w:snapToGrid/>
        <w:spacing w:line="520" w:lineRule="exact"/>
        <w:ind w:left="690" w:leftChars="100" w:hanging="480" w:hangingChars="1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3工程师具有独立处理磁体制冷方面经验。要求具有西门子公司培训证书（不限于冷头更换、除冰、失超处理等，并提供有资质的工程师近6个月郑州市社保，原西门子培训证书，原西门子劳动合同备查。）</w:t>
      </w:r>
    </w:p>
    <w:p>
      <w:pPr>
        <w:pStyle w:val="16"/>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4初次电话响应时间：10分钟内</w:t>
      </w:r>
    </w:p>
    <w:p>
      <w:pPr>
        <w:pStyle w:val="16"/>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5到达现场时间：不超过3小时工程师到达现场</w:t>
      </w:r>
    </w:p>
    <w:p>
      <w:pPr>
        <w:pStyle w:val="3"/>
        <w:pageBreakBefore w:val="0"/>
        <w:widowControl w:val="0"/>
        <w:kinsoku/>
        <w:wordWrap/>
        <w:overflowPunct/>
        <w:topLinePunct w:val="0"/>
        <w:autoSpaceDE/>
        <w:autoSpaceDN/>
        <w:bidi w:val="0"/>
        <w:adjustRightInd/>
        <w:snapToGrid/>
        <w:spacing w:line="520" w:lineRule="exact"/>
        <w:textAlignment w:val="auto"/>
      </w:pPr>
      <w:bookmarkStart w:id="2" w:name="_Toc25820"/>
      <w:bookmarkStart w:id="3" w:name="_Toc23393"/>
      <w:r>
        <w:rPr>
          <w:rFonts w:hint="eastAsia"/>
        </w:rPr>
        <w:t>2保养事项</w:t>
      </w:r>
      <w:bookmarkEnd w:id="2"/>
      <w:bookmarkEnd w:id="3"/>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全年共四次保养，每半年一次设备全面保养，</w:t>
      </w:r>
      <w:r>
        <w:rPr>
          <w:rFonts w:hint="eastAsia" w:ascii="仿宋_GB2312" w:hAnsi="仿宋_GB2312" w:eastAsia="仿宋_GB2312" w:cs="仿宋_GB2312"/>
          <w:bCs/>
          <w:kern w:val="0"/>
          <w:sz w:val="32"/>
          <w:szCs w:val="32"/>
          <w:lang w:eastAsia="zh-CN"/>
        </w:rPr>
        <w:t>不低于</w:t>
      </w:r>
      <w:r>
        <w:rPr>
          <w:rFonts w:hint="eastAsia" w:ascii="仿宋_GB2312" w:hAnsi="仿宋_GB2312" w:eastAsia="仿宋_GB2312" w:cs="仿宋_GB2312"/>
          <w:bCs/>
          <w:kern w:val="0"/>
          <w:sz w:val="32"/>
          <w:szCs w:val="32"/>
        </w:rPr>
        <w:t>100项检测及校准，按照厂家标准进行检测、校准，确认各项技术指标及性能正常。并提供书面保养报告。包含保养时所需的耗材。</w:t>
      </w:r>
    </w:p>
    <w:p>
      <w:pPr>
        <w:pStyle w:val="3"/>
        <w:pageBreakBefore w:val="0"/>
        <w:widowControl w:val="0"/>
        <w:kinsoku/>
        <w:wordWrap/>
        <w:overflowPunct/>
        <w:topLinePunct w:val="0"/>
        <w:autoSpaceDE/>
        <w:autoSpaceDN/>
        <w:bidi w:val="0"/>
        <w:adjustRightInd/>
        <w:snapToGrid/>
        <w:spacing w:line="520" w:lineRule="exact"/>
        <w:textAlignment w:val="auto"/>
      </w:pPr>
      <w:bookmarkStart w:id="4" w:name="_Toc26036"/>
      <w:bookmarkStart w:id="5" w:name="_Toc13527"/>
      <w:r>
        <w:rPr>
          <w:rFonts w:hint="eastAsia"/>
          <w:lang w:val="en-US" w:eastAsia="zh-CN"/>
        </w:rPr>
        <w:t>3</w:t>
      </w:r>
      <w:r>
        <w:rPr>
          <w:rFonts w:hint="eastAsia"/>
        </w:rPr>
        <w:t>设备安全检查</w:t>
      </w:r>
      <w:bookmarkEnd w:id="4"/>
      <w:bookmarkEnd w:id="5"/>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ascii="宋体" w:hAnsi="宋体"/>
          <w:bCs/>
          <w:kern w:val="0"/>
          <w:sz w:val="24"/>
          <w:szCs w:val="24"/>
        </w:rPr>
      </w:pPr>
      <w:r>
        <w:rPr>
          <w:rFonts w:hint="eastAsia" w:ascii="仿宋_GB2312" w:hAnsi="仿宋_GB2312" w:eastAsia="仿宋_GB2312" w:cs="仿宋_GB2312"/>
          <w:bCs/>
          <w:kern w:val="0"/>
          <w:sz w:val="32"/>
          <w:szCs w:val="32"/>
        </w:rPr>
        <w:t>消除设备安全隐患，避免由于设备安全性引起的医疗事故，消除设备自身的安全隐患。</w:t>
      </w:r>
    </w:p>
    <w:p>
      <w:pPr>
        <w:pStyle w:val="3"/>
        <w:pageBreakBefore w:val="0"/>
        <w:widowControl w:val="0"/>
        <w:kinsoku/>
        <w:wordWrap/>
        <w:overflowPunct/>
        <w:topLinePunct w:val="0"/>
        <w:autoSpaceDE/>
        <w:autoSpaceDN/>
        <w:bidi w:val="0"/>
        <w:adjustRightInd/>
        <w:snapToGrid/>
        <w:spacing w:line="520" w:lineRule="exact"/>
        <w:textAlignment w:val="auto"/>
      </w:pPr>
      <w:bookmarkStart w:id="6" w:name="_Toc31571"/>
      <w:bookmarkStart w:id="7" w:name="_Toc17399"/>
      <w:r>
        <w:rPr>
          <w:rFonts w:hint="eastAsia"/>
          <w:lang w:val="en-US" w:eastAsia="zh-CN"/>
        </w:rPr>
        <w:t>4</w:t>
      </w:r>
      <w:r>
        <w:rPr>
          <w:rFonts w:hint="eastAsia"/>
        </w:rPr>
        <w:t>图像质量保证</w:t>
      </w:r>
      <w:bookmarkEnd w:id="6"/>
      <w:bookmarkEnd w:id="7"/>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设备所有技术参数指标均达到国家计量科学研究院标准和厂家的技术标准。及时校准图像质量，通过匀场，调整射频、梯度等参数，消除伪影，提高图像信噪比和分辨率，避免由于图像质量引起的漏诊和误诊等。</w:t>
      </w:r>
    </w:p>
    <w:p>
      <w:pPr>
        <w:pStyle w:val="3"/>
        <w:pageBreakBefore w:val="0"/>
        <w:widowControl w:val="0"/>
        <w:kinsoku/>
        <w:wordWrap/>
        <w:overflowPunct/>
        <w:topLinePunct w:val="0"/>
        <w:autoSpaceDE/>
        <w:autoSpaceDN/>
        <w:bidi w:val="0"/>
        <w:adjustRightInd/>
        <w:snapToGrid/>
        <w:spacing w:line="520" w:lineRule="exact"/>
        <w:textAlignment w:val="auto"/>
      </w:pPr>
      <w:bookmarkStart w:id="8" w:name="_Toc6792"/>
      <w:bookmarkStart w:id="9" w:name="_Toc25963"/>
      <w:r>
        <w:rPr>
          <w:rFonts w:hint="eastAsia"/>
          <w:lang w:val="en-US" w:eastAsia="zh-CN"/>
        </w:rPr>
        <w:t>5</w:t>
      </w:r>
      <w:r>
        <w:rPr>
          <w:rFonts w:hint="eastAsia"/>
        </w:rPr>
        <w:t>安全和性能升级</w:t>
      </w:r>
      <w:bookmarkEnd w:id="8"/>
      <w:bookmarkEnd w:id="9"/>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和厂家同步的关于本设备的安全和性能方面的全面升级。</w:t>
      </w:r>
    </w:p>
    <w:p>
      <w:pPr>
        <w:pStyle w:val="3"/>
        <w:pageBreakBefore w:val="0"/>
        <w:widowControl w:val="0"/>
        <w:kinsoku/>
        <w:wordWrap/>
        <w:overflowPunct/>
        <w:topLinePunct w:val="0"/>
        <w:autoSpaceDE/>
        <w:autoSpaceDN/>
        <w:bidi w:val="0"/>
        <w:adjustRightInd/>
        <w:snapToGrid/>
        <w:spacing w:line="520" w:lineRule="exact"/>
        <w:textAlignment w:val="auto"/>
      </w:pPr>
      <w:bookmarkStart w:id="10" w:name="_Toc25371"/>
      <w:bookmarkStart w:id="11" w:name="_Toc28812"/>
      <w:r>
        <w:rPr>
          <w:rFonts w:hint="eastAsia"/>
          <w:lang w:val="en-US" w:eastAsia="zh-CN"/>
        </w:rPr>
        <w:t>6 24</w:t>
      </w:r>
      <w:r>
        <w:rPr>
          <w:rFonts w:hint="eastAsia"/>
        </w:rPr>
        <w:t>小时*365天技术支持</w:t>
      </w:r>
      <w:bookmarkEnd w:id="10"/>
      <w:bookmarkEnd w:id="11"/>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保障</w:t>
      </w:r>
      <w:r>
        <w:rPr>
          <w:rFonts w:hint="eastAsia" w:ascii="仿宋_GB2312" w:hAnsi="仿宋_GB2312" w:eastAsia="仿宋_GB2312" w:cs="仿宋_GB2312"/>
          <w:bCs/>
          <w:kern w:val="0"/>
          <w:sz w:val="32"/>
          <w:szCs w:val="32"/>
          <w:lang w:eastAsia="zh-CN"/>
        </w:rPr>
        <w:t>医院</w:t>
      </w:r>
      <w:r>
        <w:rPr>
          <w:rFonts w:hint="eastAsia" w:ascii="仿宋_GB2312" w:hAnsi="仿宋_GB2312" w:eastAsia="仿宋_GB2312" w:cs="仿宋_GB2312"/>
          <w:bCs/>
          <w:kern w:val="0"/>
          <w:sz w:val="32"/>
          <w:szCs w:val="32"/>
        </w:rPr>
        <w:t>可以第一时间与工程师取得联系，快速准确的判断问题，操作性问题可以通过远程指导快速解决。</w:t>
      </w:r>
    </w:p>
    <w:p>
      <w:pPr>
        <w:pStyle w:val="3"/>
        <w:pageBreakBefore w:val="0"/>
        <w:widowControl w:val="0"/>
        <w:kinsoku/>
        <w:wordWrap/>
        <w:overflowPunct/>
        <w:topLinePunct w:val="0"/>
        <w:autoSpaceDE/>
        <w:autoSpaceDN/>
        <w:bidi w:val="0"/>
        <w:adjustRightInd/>
        <w:snapToGrid/>
        <w:spacing w:line="520" w:lineRule="exact"/>
        <w:textAlignment w:val="auto"/>
      </w:pPr>
      <w:bookmarkStart w:id="12" w:name="_Toc21533"/>
      <w:bookmarkStart w:id="13" w:name="_Toc23611"/>
      <w:r>
        <w:rPr>
          <w:rFonts w:hint="eastAsia"/>
          <w:lang w:val="en-US" w:eastAsia="zh-CN"/>
        </w:rPr>
        <w:t>7</w:t>
      </w:r>
      <w:r>
        <w:rPr>
          <w:rFonts w:hint="eastAsia"/>
        </w:rPr>
        <w:t>设备维保单据</w:t>
      </w:r>
      <w:bookmarkEnd w:id="12"/>
      <w:bookmarkEnd w:id="13"/>
    </w:p>
    <w:p>
      <w:pPr>
        <w:pStyle w:val="16"/>
        <w:pageBreakBefore w:val="0"/>
        <w:widowControl w:val="0"/>
        <w:kinsoku/>
        <w:wordWrap/>
        <w:overflowPunct/>
        <w:topLinePunct w:val="0"/>
        <w:autoSpaceDE/>
        <w:autoSpaceDN/>
        <w:bidi w:val="0"/>
        <w:adjustRightInd/>
        <w:snapToGrid/>
        <w:spacing w:line="520" w:lineRule="exact"/>
        <w:ind w:firstLine="480"/>
        <w:textAlignment w:val="auto"/>
        <w:rPr>
          <w:rFonts w:hint="default" w:ascii="仿宋_GB2312" w:eastAsia="仿宋_GB2312" w:cs="Times New Roman"/>
          <w:kern w:val="2"/>
          <w:sz w:val="32"/>
          <w:szCs w:val="32"/>
          <w:lang w:val="en-US" w:eastAsia="zh-CN" w:bidi="ar-SA"/>
        </w:rPr>
      </w:pPr>
      <w:r>
        <w:rPr>
          <w:rFonts w:hint="eastAsia" w:ascii="仿宋_GB2312" w:hAnsi="仿宋_GB2312" w:eastAsia="仿宋_GB2312" w:cs="仿宋_GB2312"/>
          <w:bCs/>
          <w:kern w:val="0"/>
          <w:sz w:val="32"/>
          <w:szCs w:val="32"/>
          <w:lang w:eastAsia="zh-CN"/>
        </w:rPr>
        <w:t>厂家</w:t>
      </w:r>
      <w:r>
        <w:rPr>
          <w:rFonts w:hint="eastAsia" w:ascii="仿宋_GB2312" w:hAnsi="仿宋_GB2312" w:eastAsia="仿宋_GB2312" w:cs="仿宋_GB2312"/>
          <w:bCs/>
          <w:kern w:val="0"/>
          <w:sz w:val="32"/>
          <w:szCs w:val="32"/>
        </w:rPr>
        <w:t>提供每次上门服务的详细内容纸质单据</w:t>
      </w:r>
      <w:r>
        <w:rPr>
          <w:rFonts w:hint="eastAsia" w:ascii="仿宋_GB2312" w:hAnsi="仿宋_GB2312" w:eastAsia="仿宋_GB2312" w:cs="仿宋_GB2312"/>
          <w:bCs/>
          <w:kern w:val="0"/>
          <w:sz w:val="32"/>
          <w:szCs w:val="32"/>
          <w:lang w:eastAsia="zh-CN"/>
        </w:rPr>
        <w:t>供医学装备部</w:t>
      </w:r>
      <w:r>
        <w:rPr>
          <w:rFonts w:hint="eastAsia" w:ascii="仿宋_GB2312" w:hAnsi="仿宋_GB2312" w:eastAsia="仿宋_GB2312" w:cs="仿宋_GB2312"/>
          <w:bCs/>
          <w:kern w:val="0"/>
          <w:sz w:val="32"/>
          <w:szCs w:val="32"/>
        </w:rPr>
        <w:t>或使用科室存档。</w:t>
      </w:r>
    </w:p>
    <w:p>
      <w:pPr>
        <w:pageBreakBefore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bookmarkStart w:id="29" w:name="_GoBack"/>
      <w:bookmarkEnd w:id="29"/>
      <w:r>
        <w:rPr>
          <w:rFonts w:hint="eastAsia" w:ascii="仿宋_GB2312" w:eastAsia="仿宋_GB2312"/>
          <w:color w:val="C00000"/>
          <w:sz w:val="32"/>
          <w:szCs w:val="32"/>
        </w:rPr>
        <w:t>日</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pageBreakBefore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五、评审</w:t>
      </w:r>
    </w:p>
    <w:p>
      <w:pPr>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2"/>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8"/>
              </w:numPr>
              <w:rPr>
                <w:rFonts w:hint="eastAsia"/>
                <w:lang w:val="en-US" w:eastAsia="zh-CN"/>
              </w:rPr>
            </w:pPr>
            <w:r>
              <w:rPr>
                <w:rFonts w:hint="eastAsia"/>
                <w:lang w:val="en-US" w:eastAsia="zh-CN"/>
              </w:rPr>
              <w:t>根据维修人员资质，是否受过专业培训，是否为原厂维修等方面在0-20分范围内打分</w:t>
            </w:r>
          </w:p>
          <w:p>
            <w:pPr>
              <w:pStyle w:val="2"/>
              <w:numPr>
                <w:ilvl w:val="0"/>
                <w:numId w:val="8"/>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pStyle w:val="2"/>
              <w:numPr>
                <w:ilvl w:val="0"/>
                <w:numId w:val="9"/>
              </w:numPr>
              <w:rPr>
                <w:rFonts w:hint="eastAsia"/>
                <w:lang w:val="en-US" w:eastAsia="zh-CN"/>
              </w:rPr>
            </w:pPr>
            <w:r>
              <w:rPr>
                <w:rFonts w:hint="eastAsia"/>
                <w:lang w:val="en-US" w:eastAsia="zh-CN"/>
              </w:rPr>
              <w:t>根据服务方案在0-20分范围内打分，如配件费用折扣、响应速度等</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2"/>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14" w:name="_Toc337554724"/>
      <w:bookmarkStart w:id="15" w:name="_Toc258360158"/>
      <w:bookmarkStart w:id="16" w:name="_Toc248896063"/>
      <w:bookmarkStart w:id="17" w:name="_Toc258333636"/>
      <w:bookmarkStart w:id="18" w:name="_Toc261708863"/>
      <w:bookmarkStart w:id="19" w:name="_Toc258354146"/>
      <w:bookmarkStart w:id="20" w:name="_Toc9548"/>
      <w:bookmarkStart w:id="21" w:name="_Toc17030"/>
      <w:bookmarkStart w:id="22" w:name="_Toc304219257"/>
      <w:bookmarkStart w:id="23" w:name="_Toc15313"/>
      <w:bookmarkStart w:id="24" w:name="_Toc219626747"/>
      <w:bookmarkStart w:id="25" w:name="_Toc320878640"/>
      <w:bookmarkStart w:id="26" w:name="_Toc258360269"/>
      <w:bookmarkStart w:id="27" w:name="_Toc10762"/>
      <w:bookmarkStart w:id="28"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5223D3"/>
    <w:rsid w:val="6A67750E"/>
    <w:rsid w:val="6B4158EB"/>
    <w:rsid w:val="6CD8518D"/>
    <w:rsid w:val="6ECA7999"/>
    <w:rsid w:val="6F8E4227"/>
    <w:rsid w:val="70580A58"/>
    <w:rsid w:val="70E04A7D"/>
    <w:rsid w:val="71B367CA"/>
    <w:rsid w:val="745F5922"/>
    <w:rsid w:val="78481C82"/>
    <w:rsid w:val="78BC0632"/>
    <w:rsid w:val="78BE0AF1"/>
    <w:rsid w:val="792701E6"/>
    <w:rsid w:val="798E357B"/>
    <w:rsid w:val="7AFC68A2"/>
    <w:rsid w:val="7BC97F92"/>
    <w:rsid w:val="7CD51BEE"/>
    <w:rsid w:val="7CF966CC"/>
    <w:rsid w:val="7D0B50F4"/>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9">
    <w:name w:val="FollowedHyperlink"/>
    <w:basedOn w:val="8"/>
    <w:qFormat/>
    <w:uiPriority w:val="0"/>
    <w:rPr>
      <w:color w:val="444444"/>
      <w:sz w:val="21"/>
      <w:szCs w:val="21"/>
      <w:u w:val="none"/>
    </w:rPr>
  </w:style>
  <w:style w:type="character" w:styleId="10">
    <w:name w:val="Hyperlink"/>
    <w:basedOn w:val="8"/>
    <w:semiHidden/>
    <w:unhideWhenUsed/>
    <w:qFormat/>
    <w:uiPriority w:val="99"/>
    <w:rPr>
      <w:rFonts w:ascii="微软雅黑" w:hAnsi="微软雅黑" w:eastAsia="微软雅黑" w:cs="微软雅黑"/>
      <w:color w:val="02396F"/>
      <w:u w:val="single"/>
    </w:rPr>
  </w:style>
  <w:style w:type="character" w:styleId="11">
    <w:name w:val="annotation reference"/>
    <w:basedOn w:val="8"/>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8"/>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2021-06-11T07:04:57Z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