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新郑市公立人民医院地块控规服务项目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新郑市公立人民医院地块控规服务项目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新郑市公立人民医院地块控规服务项目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15"/>
        <w:gridCol w:w="2640"/>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noWrap w:val="0"/>
            <w:vAlign w:val="top"/>
          </w:tcPr>
          <w:p>
            <w:pPr>
              <w:pStyle w:val="2"/>
              <w:jc w:val="center"/>
              <w:rPr>
                <w:rFonts w:hint="eastAsia" w:eastAsia="黑体"/>
                <w:vertAlign w:val="baseline"/>
                <w:lang w:val="en-US" w:eastAsia="zh-CN"/>
              </w:rPr>
            </w:pPr>
            <w:r>
              <w:rPr>
                <w:rFonts w:hint="eastAsia" w:ascii="黑体" w:eastAsia="黑体"/>
                <w:sz w:val="32"/>
                <w:szCs w:val="32"/>
                <w:lang w:eastAsia="zh-CN"/>
              </w:rPr>
              <w:t>序号</w:t>
            </w:r>
          </w:p>
        </w:tc>
        <w:tc>
          <w:tcPr>
            <w:tcW w:w="1215" w:type="dxa"/>
            <w:noWrap w:val="0"/>
            <w:vAlign w:val="top"/>
          </w:tcPr>
          <w:p>
            <w:pPr>
              <w:pStyle w:val="2"/>
              <w:jc w:val="center"/>
              <w:rPr>
                <w:rFonts w:hint="eastAsia"/>
                <w:vertAlign w:val="baseline"/>
                <w:lang w:val="en-US" w:eastAsia="zh-CN"/>
              </w:rPr>
            </w:pPr>
            <w:r>
              <w:rPr>
                <w:rFonts w:hint="eastAsia"/>
                <w:vertAlign w:val="baseline"/>
                <w:lang w:val="en-US" w:eastAsia="zh-CN"/>
              </w:rPr>
              <w:t>标段划分</w:t>
            </w:r>
          </w:p>
        </w:tc>
        <w:tc>
          <w:tcPr>
            <w:tcW w:w="2640" w:type="dxa"/>
            <w:noWrap w:val="0"/>
            <w:vAlign w:val="top"/>
          </w:tcPr>
          <w:p>
            <w:pPr>
              <w:pStyle w:val="2"/>
              <w:jc w:val="center"/>
              <w:rPr>
                <w:rFonts w:hint="eastAsia"/>
                <w:vertAlign w:val="baseline"/>
                <w:lang w:val="en-US" w:eastAsia="zh-CN"/>
              </w:rPr>
            </w:pPr>
            <w:r>
              <w:rPr>
                <w:rFonts w:hint="eastAsia"/>
                <w:vertAlign w:val="baseline"/>
                <w:lang w:val="en-US" w:eastAsia="zh-CN"/>
              </w:rPr>
              <w:t>标段名称</w:t>
            </w:r>
          </w:p>
        </w:tc>
        <w:tc>
          <w:tcPr>
            <w:tcW w:w="4335" w:type="dxa"/>
            <w:noWrap w:val="0"/>
            <w:vAlign w:val="top"/>
          </w:tcPr>
          <w:p>
            <w:pPr>
              <w:pStyle w:val="2"/>
              <w:jc w:val="center"/>
              <w:rPr>
                <w:rFonts w:hint="eastAsia"/>
                <w:vertAlign w:val="baseline"/>
                <w:lang w:val="en-US" w:eastAsia="zh-CN"/>
              </w:rPr>
            </w:pPr>
            <w:r>
              <w:rPr>
                <w:rFonts w:hint="eastAsia"/>
                <w:vertAlign w:val="baseline"/>
                <w:lang w:val="en-US" w:eastAsia="zh-CN"/>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86" w:type="dxa"/>
            <w:noWrap w:val="0"/>
            <w:vAlign w:val="top"/>
          </w:tcPr>
          <w:p>
            <w:pPr>
              <w:pStyle w:val="2"/>
              <w:jc w:val="center"/>
              <w:rPr>
                <w:rFonts w:hint="eastAsia"/>
                <w:vertAlign w:val="baseline"/>
                <w:lang w:val="en-US" w:eastAsia="zh-CN"/>
              </w:rPr>
            </w:pPr>
            <w:r>
              <w:rPr>
                <w:rFonts w:hint="eastAsia"/>
                <w:vertAlign w:val="baseline"/>
                <w:lang w:val="en-US" w:eastAsia="zh-CN"/>
              </w:rPr>
              <w:t>1</w:t>
            </w:r>
          </w:p>
        </w:tc>
        <w:tc>
          <w:tcPr>
            <w:tcW w:w="1215" w:type="dxa"/>
            <w:noWrap w:val="0"/>
            <w:vAlign w:val="top"/>
          </w:tcPr>
          <w:p>
            <w:pPr>
              <w:pStyle w:val="2"/>
              <w:jc w:val="center"/>
              <w:rPr>
                <w:rFonts w:hint="eastAsia"/>
                <w:vertAlign w:val="baseline"/>
                <w:lang w:val="en-US" w:eastAsia="zh-CN"/>
              </w:rPr>
            </w:pPr>
            <w:r>
              <w:rPr>
                <w:rFonts w:hint="eastAsia"/>
                <w:vertAlign w:val="baseline"/>
                <w:lang w:val="en-US" w:eastAsia="zh-CN"/>
              </w:rPr>
              <w:t>标段一</w:t>
            </w:r>
          </w:p>
        </w:tc>
        <w:tc>
          <w:tcPr>
            <w:tcW w:w="2640" w:type="dxa"/>
            <w:noWrap w:val="0"/>
            <w:vAlign w:val="top"/>
          </w:tcPr>
          <w:p>
            <w:pPr>
              <w:pStyle w:val="2"/>
              <w:jc w:val="center"/>
              <w:rPr>
                <w:rFonts w:hint="eastAsia"/>
                <w:vertAlign w:val="baseline"/>
                <w:lang w:val="en-US" w:eastAsia="zh-CN"/>
              </w:rPr>
            </w:pPr>
            <w:r>
              <w:rPr>
                <w:rFonts w:hint="eastAsia"/>
                <w:vertAlign w:val="baseline"/>
                <w:lang w:val="en-US" w:eastAsia="zh-CN"/>
              </w:rPr>
              <w:t>传染病区综合楼地块控规编制</w:t>
            </w:r>
          </w:p>
        </w:tc>
        <w:tc>
          <w:tcPr>
            <w:tcW w:w="4335" w:type="dxa"/>
            <w:noWrap w:val="0"/>
            <w:vAlign w:val="top"/>
          </w:tcPr>
          <w:p>
            <w:pPr>
              <w:pStyle w:val="2"/>
              <w:jc w:val="center"/>
              <w:rPr>
                <w:rFonts w:hint="eastAsia"/>
                <w:vertAlign w:val="baseline"/>
                <w:lang w:val="en-US" w:eastAsia="zh-CN"/>
              </w:rPr>
            </w:pPr>
            <w:r>
              <w:rPr>
                <w:rFonts w:hint="eastAsia"/>
                <w:vertAlign w:val="baseline"/>
                <w:lang w:val="en-US" w:eastAsia="zh-CN"/>
              </w:rPr>
              <w:t>根据国家相关要求我院传染病区综合楼项目办理土地手续要进行地块控制性规划编制。需专业设计院对地块控规进行编制及必要性的分析与论证，并参与政府组织的专家评审并通过审核。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noWrap w:val="0"/>
            <w:vAlign w:val="top"/>
          </w:tcPr>
          <w:p>
            <w:pPr>
              <w:pStyle w:val="2"/>
              <w:jc w:val="center"/>
              <w:rPr>
                <w:rFonts w:hint="eastAsia"/>
                <w:vertAlign w:val="baseline"/>
                <w:lang w:val="en-US" w:eastAsia="zh-CN"/>
              </w:rPr>
            </w:pPr>
            <w:r>
              <w:rPr>
                <w:rFonts w:hint="eastAsia"/>
                <w:vertAlign w:val="baseline"/>
                <w:lang w:val="en-US" w:eastAsia="zh-CN"/>
              </w:rPr>
              <w:t>2</w:t>
            </w:r>
          </w:p>
        </w:tc>
        <w:tc>
          <w:tcPr>
            <w:tcW w:w="1215" w:type="dxa"/>
            <w:noWrap w:val="0"/>
            <w:vAlign w:val="top"/>
          </w:tcPr>
          <w:p>
            <w:pPr>
              <w:pStyle w:val="2"/>
              <w:jc w:val="center"/>
              <w:rPr>
                <w:rFonts w:hint="eastAsia"/>
                <w:vertAlign w:val="baseline"/>
                <w:lang w:val="en-US" w:eastAsia="zh-CN"/>
              </w:rPr>
            </w:pPr>
            <w:r>
              <w:rPr>
                <w:rFonts w:hint="eastAsia"/>
                <w:vertAlign w:val="baseline"/>
                <w:lang w:val="en-US" w:eastAsia="zh-CN"/>
              </w:rPr>
              <w:t>标段二</w:t>
            </w:r>
          </w:p>
        </w:tc>
        <w:tc>
          <w:tcPr>
            <w:tcW w:w="2640" w:type="dxa"/>
            <w:noWrap w:val="0"/>
            <w:vAlign w:val="top"/>
          </w:tcPr>
          <w:p>
            <w:pPr>
              <w:pStyle w:val="2"/>
              <w:jc w:val="center"/>
              <w:rPr>
                <w:rFonts w:hint="eastAsia"/>
                <w:vertAlign w:val="baseline"/>
                <w:lang w:val="en-US" w:eastAsia="zh-CN"/>
              </w:rPr>
            </w:pPr>
            <w:r>
              <w:rPr>
                <w:rFonts w:hint="eastAsia"/>
                <w:vertAlign w:val="baseline"/>
                <w:lang w:val="en-US" w:eastAsia="zh-CN"/>
              </w:rPr>
              <w:t>现院区地块控规调整</w:t>
            </w:r>
          </w:p>
        </w:tc>
        <w:tc>
          <w:tcPr>
            <w:tcW w:w="4335" w:type="dxa"/>
            <w:noWrap w:val="0"/>
            <w:vAlign w:val="top"/>
          </w:tcPr>
          <w:p>
            <w:pPr>
              <w:pStyle w:val="2"/>
              <w:jc w:val="center"/>
              <w:rPr>
                <w:rFonts w:hint="eastAsia"/>
                <w:vertAlign w:val="baseline"/>
                <w:lang w:val="en-US" w:eastAsia="zh-CN"/>
              </w:rPr>
            </w:pPr>
            <w:r>
              <w:rPr>
                <w:rFonts w:hint="eastAsia"/>
                <w:vertAlign w:val="baseline"/>
                <w:lang w:val="en-US" w:eastAsia="zh-CN"/>
              </w:rPr>
              <w:t>因我院传染病区综合楼项目前期办理土地手续需对现院区地块控规作出调整，需要专业设计院对控规调整进行必要性的分析与论证，并参与政府组织的专家评审并通过审核。</w:t>
            </w:r>
          </w:p>
        </w:tc>
      </w:tr>
    </w:tbl>
    <w:p>
      <w:pPr>
        <w:pStyle w:val="2"/>
        <w:rPr>
          <w:rFonts w:hint="eastAsia"/>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color w:val="FF0000"/>
          <w:sz w:val="32"/>
          <w:szCs w:val="32"/>
          <w:lang w:val="en-US" w:eastAsia="zh-CN"/>
        </w:rPr>
        <w:t>需具具备城乡规划编制资质证书等相关资质，具有履行合同所必需的设备和专业技术能力（需提供相关证明材料）</w:t>
      </w:r>
      <w:r>
        <w:rPr>
          <w:rFonts w:hint="eastAsia" w:ascii="仿宋_GB2312" w:eastAsia="仿宋_GB2312"/>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、城乡规划编制资质证明材料。</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bookmarkStart w:id="15" w:name="_GoBack"/>
            <w:bookmarkEnd w:id="15"/>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对项目的理解（10分），对项目理解全面、准确，认识深刻得5分，对项目理解较透彻，认识较深刻得3分，对项目理解一般，认识一般得1分，完全没有相关内容的，本评分项得0分。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工作内容（10分）对项目工作内容理解全面、系统、到位得5分，对主要内容理解较全面、较系统、较到位得3分，对主要内容理解不全面、不系统、不到位得1分，完全没有相关内容的，本评分项得0分。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spacing w:line="500" w:lineRule="exact"/>
        <w:ind w:firstLine="482" w:firstLineChars="200"/>
        <w:jc w:val="left"/>
        <w:rPr>
          <w:rFonts w:hint="eastAsia" w:ascii="宋体" w:hAnsi="宋体" w:eastAsia="黑体"/>
          <w:b/>
          <w:bCs/>
          <w:sz w:val="24"/>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A01B1E"/>
    <w:rsid w:val="14D4656C"/>
    <w:rsid w:val="16A35C46"/>
    <w:rsid w:val="17D81E85"/>
    <w:rsid w:val="188744A6"/>
    <w:rsid w:val="1965314B"/>
    <w:rsid w:val="1C900C49"/>
    <w:rsid w:val="1D995826"/>
    <w:rsid w:val="1E4C6245"/>
    <w:rsid w:val="1E8F532B"/>
    <w:rsid w:val="245F44FD"/>
    <w:rsid w:val="246624B2"/>
    <w:rsid w:val="24DF7354"/>
    <w:rsid w:val="24FE3AD7"/>
    <w:rsid w:val="25405898"/>
    <w:rsid w:val="25E13CF1"/>
    <w:rsid w:val="2643733F"/>
    <w:rsid w:val="264A511E"/>
    <w:rsid w:val="278100C0"/>
    <w:rsid w:val="288B4898"/>
    <w:rsid w:val="2A7E0BB7"/>
    <w:rsid w:val="2B0A7B44"/>
    <w:rsid w:val="2F632DBF"/>
    <w:rsid w:val="30217C48"/>
    <w:rsid w:val="31827FC3"/>
    <w:rsid w:val="33F956F6"/>
    <w:rsid w:val="36951F21"/>
    <w:rsid w:val="384A7AD5"/>
    <w:rsid w:val="3B132AD9"/>
    <w:rsid w:val="3B2A4846"/>
    <w:rsid w:val="3B5373B6"/>
    <w:rsid w:val="3EDC78BB"/>
    <w:rsid w:val="44B67130"/>
    <w:rsid w:val="44D5542C"/>
    <w:rsid w:val="4656733B"/>
    <w:rsid w:val="47081A28"/>
    <w:rsid w:val="486D7AF7"/>
    <w:rsid w:val="494804BB"/>
    <w:rsid w:val="4B4638AD"/>
    <w:rsid w:val="4B9C1C97"/>
    <w:rsid w:val="4BC500AA"/>
    <w:rsid w:val="4C6C1786"/>
    <w:rsid w:val="4FCE5CD6"/>
    <w:rsid w:val="53501B3C"/>
    <w:rsid w:val="53F32B2D"/>
    <w:rsid w:val="550B217C"/>
    <w:rsid w:val="562E3236"/>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0C70330"/>
    <w:rsid w:val="72AF016F"/>
    <w:rsid w:val="738608DB"/>
    <w:rsid w:val="745F5922"/>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7</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2021-05-27T08:57:12Z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