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核酸扩增仪采购项目磋商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2021年5月12</w:t>
      </w:r>
      <w:bookmarkStart w:id="15" w:name="_GoBack"/>
      <w:bookmarkEnd w:id="15"/>
      <w:r>
        <w:rPr>
          <w:rFonts w:hint="eastAsia" w:ascii="黑体" w:hAnsi="黑体" w:eastAsia="黑体" w:cs="黑体"/>
          <w:sz w:val="44"/>
          <w:szCs w:val="44"/>
          <w:lang w:val="en-US" w:eastAsia="zh-CN"/>
        </w:rPr>
        <w:t>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核酸扩增仪采购项目，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核酸扩增仪采购项目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核酸扩增仪 一台，详细参数见附件</w:t>
      </w:r>
      <w:r>
        <w:rPr>
          <w:rFonts w:hint="eastAsia" w:ascii="仿宋_GB2312"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61708863"/>
      <w:bookmarkStart w:id="9" w:name="_Toc219626747"/>
      <w:bookmarkStart w:id="10" w:name="_Toc9548"/>
      <w:bookmarkStart w:id="11" w:name="_Toc320878640"/>
      <w:bookmarkStart w:id="12" w:name="_Toc258360269"/>
      <w:bookmarkStart w:id="13" w:name="_Toc10762"/>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A0C71E7"/>
    <w:rsid w:val="1BCA7DF5"/>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176</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2021-05-12T00:40:20Z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