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院区无线网络改造项目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2021年3月18日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院区无线网络改造项目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院区无线网络改造项目 </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1"/>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5"/>
        <w:gridCol w:w="1560"/>
        <w:gridCol w:w="5084"/>
        <w:gridCol w:w="945"/>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9570" w:type="dxa"/>
            <w:gridSpan w:val="5"/>
            <w:noWrap w:val="0"/>
            <w:vAlign w:val="center"/>
          </w:tcPr>
          <w:p>
            <w:pPr>
              <w:keepNext w:val="0"/>
              <w:keepLines w:val="0"/>
              <w:widowControl/>
              <w:suppressLineNumbers w:val="0"/>
              <w:jc w:val="center"/>
              <w:textAlignment w:val="center"/>
              <w:rPr>
                <w:rFonts w:ascii="微软雅黑" w:hAnsi="微软雅黑" w:eastAsia="微软雅黑" w:cs="微软雅黑"/>
                <w:b/>
                <w:i w:val="0"/>
                <w:color w:val="000000"/>
                <w:sz w:val="44"/>
                <w:szCs w:val="44"/>
                <w:u w:val="none"/>
              </w:rPr>
            </w:pPr>
            <w:r>
              <w:rPr>
                <w:rFonts w:hint="eastAsia" w:ascii="微软雅黑" w:hAnsi="微软雅黑" w:eastAsia="微软雅黑" w:cs="微软雅黑"/>
                <w:b/>
                <w:i w:val="0"/>
                <w:color w:val="000000"/>
                <w:kern w:val="0"/>
                <w:sz w:val="44"/>
                <w:szCs w:val="44"/>
                <w:u w:val="none"/>
                <w:lang w:val="en-US" w:eastAsia="zh-CN" w:bidi="ar"/>
              </w:rPr>
              <w:t>无线设备清单（如有需要，可支持现场勘探）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产品名称</w:t>
            </w:r>
          </w:p>
        </w:tc>
        <w:tc>
          <w:tcPr>
            <w:tcW w:w="5084"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 xml:space="preserve">产品描述 </w:t>
            </w:r>
          </w:p>
        </w:tc>
        <w:tc>
          <w:tcPr>
            <w:tcW w:w="945"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总数量</w:t>
            </w:r>
          </w:p>
        </w:tc>
        <w:tc>
          <w:tcPr>
            <w:tcW w:w="1396"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无线控制器扩容</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无线控制器产品专用升级许可证License，每套可支持增加128个普通AP或256个墙面式AP的控制权</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无线控制器产品专用升级许可证License，每套可支持增加32个普通AP或64个墙面式AP的控制权</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面板AP</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墙面式无线接入点，标准86面板盒尺寸，内置天线，支持802.11b/g/n双流300Mbps，配雅白颜色装饰盖，PoE</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每间病房部署一个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放装AP</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室内无线接入点，双路双频，支持2条空间流，整机最大接入速率1167Mbps，可支持802.11a/b/g/n和802.11ac同时工作，支持802.11ac Wave2特性，支持MU-MIMO，胖/瘦模式切换，千兆上联、PoE和本地供电</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部署在走廊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24口千兆POE交换机</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固化24个10/100/1000M自适应电口，4个1GSFP光口，1-24口支持PoE+/PoE，1-4号口支持HPoE（60W），整机PoE最大输出370W支持VLAN、ACL、端口镜像、端口聚合等功能，支持MACC云平台统一管理。</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8口POE交换机</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网管交换机，交换容量192Gbps，包转发率15Mpps，8口10/100/1000Mbps自适应电口交换机(支持POE/POE+，POE功率125W)，固化2个SFP千兆光口，支持VLAN、ACL、端口镜像、端口聚合等功能，支持MACC云平台统一管理。</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千兆单模POE交换机</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1000BASE-LX mini GBIC转换模块（1310nm），10km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汇聚交换机</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三层交换机，交换容量598Gbps，包转发率222Mpps；28口SFP接口（SFP为千兆/百兆口），8个复用的10/100/1000M自适应电口，4个1G/10G SFP+光口，2个扩展槽，2个模块化电源插槽</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70W交流电源模块，支持1+1电源冗余</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万兆单模光模块</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万兆LC接口模块（1310nm），10km，适用于SFP+接口</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4"/>
                <w:szCs w:val="24"/>
                <w:u w:val="none"/>
              </w:rPr>
            </w:pPr>
          </w:p>
        </w:tc>
      </w:tr>
    </w:tbl>
    <w:p>
      <w:pPr>
        <w:spacing w:line="560" w:lineRule="exact"/>
        <w:ind w:firstLine="640" w:firstLineChars="200"/>
        <w:rPr>
          <w:rFonts w:hint="eastAsia"/>
          <w:lang w:val="en-US" w:eastAsia="zh-CN"/>
        </w:rPr>
      </w:pPr>
      <w:r>
        <w:rPr>
          <w:rFonts w:hint="eastAsia" w:ascii="仿宋_GB2312" w:eastAsia="仿宋_GB2312"/>
          <w:sz w:val="32"/>
          <w:szCs w:val="32"/>
          <w:lang w:val="en-US" w:eastAsia="zh-CN"/>
        </w:rPr>
        <w:t xml:space="preserve">   </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bookmarkStart w:id="15" w:name="_GoBack"/>
      <w:bookmarkEnd w:id="15"/>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320" w:firstLineChars="100"/>
        <w:textAlignment w:val="auto"/>
        <w:outlineLvl w:val="9"/>
        <w:rPr>
          <w:rFonts w:hint="eastAsia"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lang w:val="en-US" w:eastAsia="zh-CN"/>
        </w:rPr>
      </w:pPr>
      <w:r>
        <w:rPr>
          <w:rFonts w:hint="eastAsia" w:ascii="仿宋_GB2312" w:hAnsi="Calibri"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 xml:space="preserve"> 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eastAsia="仿宋_GB2312" w:cs="Times New Roman"/>
          <w:color w:val="C00000"/>
          <w:kern w:val="2"/>
          <w:sz w:val="32"/>
          <w:szCs w:val="32"/>
          <w:highlight w:val="yellow"/>
          <w:lang w:val="en-US" w:eastAsia="zh-CN" w:bidi="ar-SA"/>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根据产品的品质、实用性等方面在</w:t>
            </w:r>
            <w:r>
              <w:rPr>
                <w:rFonts w:hint="eastAsia" w:ascii="宋体" w:hAnsi="宋体" w:cs="宋体"/>
                <w:color w:val="000000" w:themeColor="text1"/>
                <w:szCs w:val="21"/>
                <w:lang w:val="en-US" w:eastAsia="zh-CN"/>
                <w14:textFill>
                  <w14:solidFill>
                    <w14:schemeClr w14:val="tx1"/>
                  </w14:solidFill>
                </w14:textFill>
              </w:rPr>
              <w:t>0-30分范围内打分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3"/>
              <w:widowControl w:val="0"/>
              <w:numPr>
                <w:ilvl w:val="0"/>
                <w:numId w:val="8"/>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1-5分范围内进行打分</w:t>
            </w:r>
          </w:p>
          <w:p>
            <w:pPr>
              <w:pStyle w:val="13"/>
              <w:widowControl w:val="0"/>
              <w:numPr>
                <w:ilvl w:val="0"/>
                <w:numId w:val="0"/>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根据硬件质保情况在</w:t>
            </w:r>
            <w:r>
              <w:rPr>
                <w:rFonts w:hint="eastAsia" w:ascii="宋体" w:hAnsi="宋体" w:eastAsia="宋体" w:cs="宋体"/>
                <w:color w:val="000000" w:themeColor="text1"/>
                <w:sz w:val="21"/>
                <w:szCs w:val="21"/>
                <w:lang w:val="en-US" w:eastAsia="zh-CN"/>
                <w14:textFill>
                  <w14:solidFill>
                    <w14:schemeClr w14:val="tx1"/>
                  </w14:solidFill>
                </w14:textFill>
              </w:rPr>
              <w:t>1-10分范围内打分</w:t>
            </w:r>
          </w:p>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根据后续运维服务情况在</w:t>
            </w:r>
            <w:r>
              <w:rPr>
                <w:rFonts w:hint="eastAsia" w:ascii="宋体" w:hAnsi="宋体" w:eastAsia="宋体" w:cs="宋体"/>
                <w:color w:val="000000" w:themeColor="text1"/>
                <w:sz w:val="21"/>
                <w:szCs w:val="21"/>
                <w:lang w:val="en-US" w:eastAsia="zh-CN"/>
                <w14:textFill>
                  <w14:solidFill>
                    <w14:schemeClr w14:val="tx1"/>
                  </w14:solidFill>
                </w14:textFill>
              </w:rPr>
              <w:t>1-10分范围内进行打分</w:t>
            </w:r>
          </w:p>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4.根据其他服务承诺在1-5分范围内进行打分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产品详情</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产品参数、产品对照表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包含改造工期、质保、后期运维服务等信息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48896063"/>
      <w:bookmarkStart w:id="2" w:name="_Toc337554724"/>
      <w:bookmarkStart w:id="3" w:name="_Toc258360158"/>
      <w:bookmarkStart w:id="4" w:name="_Toc320878640"/>
      <w:bookmarkStart w:id="5" w:name="_Toc258354146"/>
      <w:bookmarkStart w:id="6" w:name="_Toc15313"/>
      <w:bookmarkStart w:id="7" w:name="_Toc17030"/>
      <w:bookmarkStart w:id="8" w:name="_Toc261708863"/>
      <w:bookmarkStart w:id="9" w:name="_Toc258360269"/>
      <w:bookmarkStart w:id="10" w:name="_Toc10762"/>
      <w:bookmarkStart w:id="11" w:name="_Toc219626747"/>
      <w:bookmarkStart w:id="12" w:name="_Toc337475854"/>
      <w:bookmarkStart w:id="13" w:name="_Toc25833363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876C50E"/>
    <w:multiLevelType w:val="singleLevel"/>
    <w:tmpl w:val="4876C50E"/>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1FFE0184"/>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7870BA4"/>
    <w:rsid w:val="384A7AD5"/>
    <w:rsid w:val="3B2A4846"/>
    <w:rsid w:val="3B5373B6"/>
    <w:rsid w:val="3C84407B"/>
    <w:rsid w:val="3D5A39F8"/>
    <w:rsid w:val="3EDC78BB"/>
    <w:rsid w:val="438F0656"/>
    <w:rsid w:val="43B25AA4"/>
    <w:rsid w:val="44B67130"/>
    <w:rsid w:val="4656733B"/>
    <w:rsid w:val="471E1B2F"/>
    <w:rsid w:val="486D7AF7"/>
    <w:rsid w:val="494804BB"/>
    <w:rsid w:val="4B4638AD"/>
    <w:rsid w:val="4B9C1C97"/>
    <w:rsid w:val="4BC500AA"/>
    <w:rsid w:val="4BDA1F2E"/>
    <w:rsid w:val="4FCE5CD6"/>
    <w:rsid w:val="51B64C46"/>
    <w:rsid w:val="53501B3C"/>
    <w:rsid w:val="545228DF"/>
    <w:rsid w:val="54BA144C"/>
    <w:rsid w:val="550B217C"/>
    <w:rsid w:val="563E288F"/>
    <w:rsid w:val="57162389"/>
    <w:rsid w:val="57575861"/>
    <w:rsid w:val="58453A4D"/>
    <w:rsid w:val="58E22900"/>
    <w:rsid w:val="5AD50E25"/>
    <w:rsid w:val="5C8500AE"/>
    <w:rsid w:val="5D4D3632"/>
    <w:rsid w:val="5F053FBA"/>
    <w:rsid w:val="615523A0"/>
    <w:rsid w:val="649D2897"/>
    <w:rsid w:val="649D3A7F"/>
    <w:rsid w:val="64E26821"/>
    <w:rsid w:val="65207F71"/>
    <w:rsid w:val="65394126"/>
    <w:rsid w:val="66016CC0"/>
    <w:rsid w:val="695C7637"/>
    <w:rsid w:val="69B54528"/>
    <w:rsid w:val="6A67750E"/>
    <w:rsid w:val="6B83299F"/>
    <w:rsid w:val="6CD8518D"/>
    <w:rsid w:val="6E2F43CA"/>
    <w:rsid w:val="6ECA7999"/>
    <w:rsid w:val="6F8E4227"/>
    <w:rsid w:val="7081339C"/>
    <w:rsid w:val="72966384"/>
    <w:rsid w:val="73487E9C"/>
    <w:rsid w:val="738608DB"/>
    <w:rsid w:val="745F5922"/>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2021-03-18T00:45:22Z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