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血糖试条及糖化血红蛋白检测试剂一批采购项目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血糖试条及糖化血红蛋白检测试剂一批采购项目，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血糖试条及糖化血红蛋白检测试剂一批采购项目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7"/>
        <w:gridCol w:w="4626"/>
        <w:gridCol w:w="851"/>
        <w:gridCol w:w="847"/>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详细参数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规格</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血糖测试条（葡萄糖氧化酶法）</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本测试条与对应的血糖仪配套使用，用于体外检测人体新鲜毛细血管全血和/或静脉全血中的葡萄糖浓度。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50人份/盒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糖化血红蛋白检测试剂盒(干式免疫荧光法)</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用于临床体外定量检测人全血中糖化血红蛋白（HbAlc）的含量。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48人份/盒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糖化血红蛋白（HbA1c）测定试剂盒（酶法）</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用于抗凝全血中糖化血红蛋白的测定。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300人份/盒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糖化血红蛋白（HbAlc)测定试剂（荧光免疫层析法）</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适用于体外定量检测糖化血红蛋白（HbAlc）在人体血液中的比率。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25人份/盒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糖化血红蛋白测定试剂盒（荧光免疫层析法）</w:t>
            </w:r>
          </w:p>
        </w:tc>
        <w:tc>
          <w:tcPr>
            <w:tcW w:w="4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用于定量检测糖化血红蛋白（HbA1c）在人全血样本中的比率。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40人份/盒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r>
    </w:tbl>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bookmarkStart w:id="15" w:name="_GoBack"/>
      <w:bookmarkEnd w:id="15"/>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258360269"/>
      <w:bookmarkStart w:id="3" w:name="_Toc320878640"/>
      <w:bookmarkStart w:id="4" w:name="_Toc219626747"/>
      <w:bookmarkStart w:id="5" w:name="_Toc261708863"/>
      <w:bookmarkStart w:id="6" w:name="_Toc9548"/>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A82B60"/>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2021-03-11T08:27:31Z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