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院区监控设备扩容服务项目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2020年12月3日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院区监控设备扩容服务项目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院区监控设备扩容服务项目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项目</w:t>
      </w:r>
      <w:r>
        <w:rPr>
          <w:rFonts w:hint="eastAsia" w:ascii="仿宋_GB2312" w:eastAsia="仿宋_GB2312" w:cs="Times New Roman"/>
          <w:kern w:val="2"/>
          <w:sz w:val="32"/>
          <w:szCs w:val="32"/>
          <w:lang w:val="en-US" w:eastAsia="zh-CN" w:bidi="ar-SA"/>
        </w:rPr>
        <w:t>要求</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对我院院区监控设备进行扩容，使视频资料存储能达到90天以上。</w:t>
      </w:r>
    </w:p>
    <w:p>
      <w:pPr>
        <w:pStyle w:val="2"/>
        <w:ind w:firstLine="640" w:firstLineChars="200"/>
        <w:rPr>
          <w:rFonts w:hint="default"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报名单位需自行勘察现场。</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rPr>
        <w:t>评审</w:t>
      </w:r>
    </w:p>
    <w:p>
      <w:pPr>
        <w:pStyle w:val="2"/>
        <w:numPr>
          <w:ilvl w:val="0"/>
          <w:numId w:val="0"/>
        </w:numPr>
        <w:ind w:leftChars="200"/>
        <w:rPr>
          <w:rFonts w:hint="eastAsia" w:eastAsia="宋体"/>
          <w:lang w:val="en-US" w:eastAsia="zh-CN"/>
        </w:rPr>
      </w:pPr>
      <w:r>
        <w:rPr>
          <w:rFonts w:hint="eastAsia" w:ascii="仿宋_GB2312" w:hAnsi="Calibri" w:eastAsia="仿宋_GB2312" w:cs="Times New Roman"/>
          <w:b/>
          <w:kern w:val="2"/>
          <w:sz w:val="32"/>
          <w:szCs w:val="32"/>
          <w:lang w:val="en-US" w:eastAsia="zh-CN" w:bidi="ar-SA"/>
        </w:rPr>
        <w:t xml:space="preserve"> 磋商文件：</w:t>
      </w:r>
      <w:r>
        <w:rPr>
          <w:rFonts w:hint="eastAsia" w:ascii="仿宋_GB2312" w:hAnsi="Calibri" w:eastAsia="仿宋_GB2312" w:cs="Times New Roman"/>
          <w:kern w:val="2"/>
          <w:sz w:val="32"/>
          <w:szCs w:val="32"/>
          <w:lang w:val="en-US" w:eastAsia="zh-CN" w:bidi="ar-SA"/>
        </w:rPr>
        <w:t>文件获取方式：文末附件自行下载</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hint="eastAsia" w:ascii="仿宋_GB2312" w:eastAsia="仿宋_GB2312"/>
          <w:color w:val="FF0000"/>
          <w:sz w:val="32"/>
          <w:szCs w:val="32"/>
          <w:lang w:eastAsia="zh-CN"/>
        </w:rPr>
      </w:pPr>
      <w:r>
        <w:rPr>
          <w:rFonts w:hint="eastAsia" w:ascii="仿宋_GB2312" w:eastAsia="仿宋_GB2312"/>
          <w:b/>
          <w:sz w:val="32"/>
          <w:szCs w:val="32"/>
        </w:rPr>
        <w:t>评审须知：</w:t>
      </w:r>
      <w:r>
        <w:rPr>
          <w:rFonts w:hint="eastAsia" w:ascii="仿宋_GB2312" w:eastAsia="仿宋_GB2312"/>
          <w:color w:val="FF0000"/>
          <w:sz w:val="32"/>
          <w:szCs w:val="32"/>
        </w:rPr>
        <w:t>携带</w:t>
      </w:r>
      <w:r>
        <w:rPr>
          <w:rFonts w:hint="eastAsia" w:ascii="仿宋_GB2312" w:eastAsia="仿宋_GB2312"/>
          <w:color w:val="FF0000"/>
          <w:sz w:val="32"/>
          <w:szCs w:val="32"/>
          <w:lang w:eastAsia="zh-CN"/>
        </w:rPr>
        <w:t>响应文件（响应文件要求两正三副，密封）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pStyle w:val="2"/>
        <w:rPr>
          <w:rFonts w:hint="eastAsia"/>
          <w:lang w:eastAsia="zh-CN"/>
        </w:rPr>
      </w:pPr>
    </w:p>
    <w:p>
      <w:pPr>
        <w:pStyle w:val="2"/>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eastAsia"/>
          <w:sz w:val="32"/>
          <w:szCs w:val="32"/>
          <w:lang w:val="en-US" w:eastAsia="zh-CN"/>
        </w:rPr>
      </w:pPr>
    </w:p>
    <w:p>
      <w:pPr>
        <w:pStyle w:val="13"/>
        <w:rPr>
          <w:rFonts w:hint="eastAsia"/>
          <w:sz w:val="32"/>
          <w:szCs w:val="32"/>
          <w:lang w:val="en-US" w:eastAsia="zh-CN"/>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pStyle w:val="2"/>
        <w:rPr>
          <w:rFonts w:hint="eastAsia"/>
          <w:lang w:eastAsia="zh-CN"/>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响应</w:t>
      </w:r>
      <w:r>
        <w:rPr>
          <w:rFonts w:hint="eastAsia" w:ascii="仿宋_GB2312" w:hAnsi="仿宋_GB2312" w:eastAsia="仿宋_GB2312" w:cs="仿宋_GB2312"/>
          <w:color w:val="FF0000"/>
          <w:sz w:val="32"/>
          <w:szCs w:val="32"/>
        </w:rPr>
        <w:t>文件的密封</w:t>
      </w:r>
      <w:r>
        <w:rPr>
          <w:rFonts w:hint="eastAsia" w:ascii="仿宋_GB2312" w:hAnsi="仿宋_GB2312" w:eastAsia="仿宋_GB2312" w:cs="仿宋_GB2312"/>
          <w:color w:val="FF0000"/>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实施方案</w:t>
            </w:r>
            <w:r>
              <w:rPr>
                <w:rFonts w:hint="eastAsia"/>
                <w:color w:val="auto"/>
              </w:rPr>
              <w:t>：</w:t>
            </w:r>
            <w:r>
              <w:rPr>
                <w:rFonts w:hint="eastAsia"/>
                <w:color w:val="auto"/>
                <w:u w:val="single"/>
              </w:rPr>
              <w:t xml:space="preserve"> </w:t>
            </w:r>
            <w:r>
              <w:rPr>
                <w:rFonts w:hint="eastAsia"/>
                <w:color w:val="auto"/>
                <w:u w:val="single"/>
                <w:lang w:val="en-US" w:eastAsia="zh-CN"/>
              </w:rPr>
              <w:t xml:space="preserve">40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10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40</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实施方案（</w:t>
            </w:r>
            <w:r>
              <w:rPr>
                <w:rFonts w:hint="eastAsia"/>
                <w:color w:val="auto"/>
                <w:lang w:val="en-US" w:eastAsia="zh-CN"/>
              </w:rPr>
              <w:t>40分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1根据项目实施方案在0-40分范围内进行打分。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10</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0-10分范围内进行打分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须包含项目明细报价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实施方案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包含工期等信息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包含售后维保等信息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w:t>
      </w:r>
      <w:r>
        <w:rPr>
          <w:rFonts w:hint="eastAsia" w:ascii="仿宋_GB2312" w:eastAsia="仿宋_GB2312"/>
          <w:color w:val="FF0000"/>
          <w:sz w:val="28"/>
          <w:szCs w:val="28"/>
        </w:rPr>
        <w:t>2、需提供</w:t>
      </w:r>
      <w:r>
        <w:rPr>
          <w:rFonts w:hint="eastAsia" w:ascii="仿宋_GB2312" w:eastAsia="仿宋_GB2312"/>
          <w:color w:val="FF0000"/>
          <w:sz w:val="28"/>
          <w:szCs w:val="28"/>
          <w:lang w:eastAsia="zh-CN"/>
        </w:rPr>
        <w:t>响应</w:t>
      </w:r>
      <w:r>
        <w:rPr>
          <w:rFonts w:hint="eastAsia" w:ascii="仿宋_GB2312" w:eastAsia="仿宋_GB2312"/>
          <w:color w:val="FF0000"/>
          <w:sz w:val="28"/>
          <w:szCs w:val="28"/>
        </w:rPr>
        <w:t>响应文件正本2份，副本3份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933588"/>
    <w:rsid w:val="03C05FE9"/>
    <w:rsid w:val="06AB0CBE"/>
    <w:rsid w:val="07115D57"/>
    <w:rsid w:val="08492771"/>
    <w:rsid w:val="08B25A56"/>
    <w:rsid w:val="091E4C98"/>
    <w:rsid w:val="09984B6B"/>
    <w:rsid w:val="0B5062F1"/>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3324E98"/>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5545C95"/>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CE5CD6"/>
    <w:rsid w:val="53501B3C"/>
    <w:rsid w:val="550B217C"/>
    <w:rsid w:val="563E288F"/>
    <w:rsid w:val="567273BB"/>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2020-12-03T01:19:00Z</cp:lastPrinted>
  <dcterms:modified xsi:type="dcterms:W3CDTF">2020-12-07T01:29:26Z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