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消防维保服务项目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消防维保服务项目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消防维保服务项目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rPr>
          <w:rFonts w:hint="eastAsia" w:eastAsia="黑体"/>
          <w:lang w:val="en-US" w:eastAsia="zh-CN"/>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我院建筑使用面积为94084.79㎡，具体消防维保需求详见附件</w:t>
      </w:r>
      <w:r>
        <w:rPr>
          <w:rFonts w:hint="eastAsia" w:ascii="仿宋_GB2312" w:eastAsia="仿宋_GB2312" w:cs="Times New Roman"/>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供应商应具有消防维修保养企业资质，消防设备维修保养人员资格证，具有丰富的维修保养经验及良好的社会信誉</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default" w:ascii="仿宋_GB2312" w:eastAsia="仿宋_GB2312"/>
          <w:b/>
          <w:sz w:val="32"/>
          <w:szCs w:val="32"/>
        </w:rPr>
      </w:pPr>
      <w:bookmarkStart w:id="15" w:name="_GoBack"/>
      <w:bookmarkEnd w:id="15"/>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项目维保方案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根据项目维保方案得完整性、可实施性在</w:t>
            </w:r>
            <w:r>
              <w:rPr>
                <w:rFonts w:hint="eastAsia" w:ascii="宋体" w:hAnsi="宋体" w:cs="宋体"/>
                <w:color w:val="000000" w:themeColor="text1"/>
                <w:szCs w:val="21"/>
                <w:lang w:val="en-US" w:eastAsia="zh-CN"/>
                <w14:textFill>
                  <w14:solidFill>
                    <w14:schemeClr w14:val="tx1"/>
                  </w14:solidFill>
                </w14:textFill>
              </w:rPr>
              <w:t>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新郑市公立人民医院消防维保服务项目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新郑市公立人民医院消防维保服务项目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、及其他资质证明材料、维修资质、及人员资质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项目维保</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包含维保方案等相关信息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E7F19E0"/>
    <w:rsid w:val="2F570DF0"/>
    <w:rsid w:val="2F632DBF"/>
    <w:rsid w:val="30217C48"/>
    <w:rsid w:val="31827FC3"/>
    <w:rsid w:val="31CB0A48"/>
    <w:rsid w:val="33F956F6"/>
    <w:rsid w:val="384A7AD5"/>
    <w:rsid w:val="3B2A4846"/>
    <w:rsid w:val="3B5373B6"/>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6016CC0"/>
    <w:rsid w:val="695C7637"/>
    <w:rsid w:val="69B54528"/>
    <w:rsid w:val="6A67750E"/>
    <w:rsid w:val="6B83299F"/>
    <w:rsid w:val="6CD8518D"/>
    <w:rsid w:val="6ECA7999"/>
    <w:rsid w:val="6F8E4227"/>
    <w:rsid w:val="738608DB"/>
    <w:rsid w:val="745F5922"/>
    <w:rsid w:val="78481C82"/>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2020-11-03T00:39:52Z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