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绿化养护管理服务项目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绿化养护管理服务项目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绿化养护管理服务项目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按照一级</w:t>
      </w:r>
      <w:r>
        <w:rPr>
          <w:rFonts w:hint="eastAsia" w:ascii="仿宋_GB2312" w:eastAsia="仿宋_GB2312" w:cs="Times New Roman"/>
          <w:kern w:val="2"/>
          <w:sz w:val="32"/>
          <w:szCs w:val="32"/>
          <w:lang w:val="en-US" w:eastAsia="zh-CN" w:bidi="ar-SA"/>
        </w:rPr>
        <w:t>养护质量标准，对公立医院22094㎡绿化面积所含树木、花卉、草坪、地被植物、竹类等进行日常养护、修建整形、杀虫除菌、杂草清除、绿化垃圾清理等，保持院区绿植整洁整齐美观。</w:t>
      </w:r>
    </w:p>
    <w:p>
      <w:pPr>
        <w:pStyle w:val="2"/>
        <w:ind w:firstLine="64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养护标准和养护技术规范参考《河南省城市绿地养护标准》DBJ41/T172-2017、《园林绿化养护标准》GJJT 287-2018。</w:t>
      </w:r>
    </w:p>
    <w:p>
      <w:pPr>
        <w:pStyle w:val="2"/>
        <w:ind w:firstLine="64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服务期限：一年</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新郑市公立人民医院绿化养护管理服务项目</w:t>
      </w:r>
      <w:r>
        <w:rPr>
          <w:rFonts w:hint="eastAsia"/>
        </w:rPr>
        <w:t>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新郑市公立人民医院绿化养护管理服务项目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20878640"/>
      <w:bookmarkStart w:id="1" w:name="_Toc10762"/>
      <w:bookmarkStart w:id="2" w:name="_Toc15313"/>
      <w:bookmarkStart w:id="3" w:name="_Toc258360269"/>
      <w:bookmarkStart w:id="4" w:name="_Toc258333636"/>
      <w:bookmarkStart w:id="5" w:name="_Toc261708863"/>
      <w:bookmarkStart w:id="6" w:name="_Toc9548"/>
      <w:bookmarkStart w:id="7" w:name="_Toc219626747"/>
      <w:bookmarkStart w:id="8" w:name="_Toc248896063"/>
      <w:bookmarkStart w:id="9" w:name="_Toc337554724"/>
      <w:bookmarkStart w:id="10" w:name="_Toc258360158"/>
      <w:bookmarkStart w:id="11" w:name="_Toc17030"/>
      <w:bookmarkStart w:id="12" w:name="_Toc258354146"/>
      <w:bookmarkStart w:id="13" w:name="_Toc337475854"/>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2"/>
  </w:num>
  <w:num w:numId="5">
    <w:abstractNumId w:val="0"/>
  </w:num>
  <w:num w:numId="6">
    <w:abstractNumId w:val="7"/>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965314B"/>
    <w:rsid w:val="1C900C49"/>
    <w:rsid w:val="1CBB5195"/>
    <w:rsid w:val="1D995826"/>
    <w:rsid w:val="1E4C6245"/>
    <w:rsid w:val="234365EE"/>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D5A39F8"/>
    <w:rsid w:val="3EDC78BB"/>
    <w:rsid w:val="438F0656"/>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5D666A"/>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2020-11-19T06:26:31Z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