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开颅手术器械包一套</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开颅手术器械包一套，</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开颅手术器械包一套</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 xml:space="preserve">项目详情：  </w:t>
      </w:r>
    </w:p>
    <w:tbl>
      <w:tblPr>
        <w:tblStyle w:val="11"/>
        <w:tblW w:w="73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20"/>
        <w:gridCol w:w="2700"/>
        <w:gridCol w:w="30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乳突牵开器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105mm 3*3</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乳突牵开器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170mm 3*4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乳突牵开器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170mm 单钩</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后颅窝牵开器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280mm 4*4</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剥离器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剥离器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240mm 带孔</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脑膜剪</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180mm 圆弯头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脑膜镊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200mm 2*3 齿</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解剖镊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200mm 横齿 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解剖镊</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170mm 横齿 枪</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脑室穿刺针</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90*2.4mm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颅骨钻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T型 直径3.0mm 螺旋钻头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颅骨钻</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T型 直径4.0mm 螺旋钻头</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颅骨骨撬</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骨膜剥离器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160mm 弯</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骨膜剥离器</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200*8mm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头皮夹钳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脑膜挑针</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咬骨钳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230*6mm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咬骨钳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230*8mm</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弹簧头皮拉钩</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椎板咬骨钳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180*3mm 90度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椎板咬骨钳</w:t>
            </w:r>
          </w:p>
        </w:tc>
        <w:tc>
          <w:tcPr>
            <w:tcW w:w="3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180*3mm 130度</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r>
    </w:tbl>
    <w:p>
      <w:pPr>
        <w:pStyle w:val="2"/>
        <w:jc w:val="both"/>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w:t>
            </w:r>
            <w:r>
              <w:rPr>
                <w:rFonts w:hint="eastAsia" w:ascii="宋体" w:hAnsi="宋体" w:cs="宋体"/>
                <w:color w:val="000000" w:themeColor="text1"/>
                <w:kern w:val="0"/>
                <w:szCs w:val="21"/>
                <w:lang w:val="en-US" w:eastAsia="zh-CN"/>
                <w14:textFill>
                  <w14:solidFill>
                    <w14:schemeClr w14:val="tx1"/>
                  </w14:solidFill>
                </w14:textFill>
              </w:rPr>
              <w:t>仓储、人员配备等方面</w:t>
            </w:r>
            <w:r>
              <w:rPr>
                <w:rFonts w:hint="eastAsia" w:ascii="宋体" w:hAnsi="宋体" w:cs="宋体"/>
                <w:color w:val="000000" w:themeColor="text1"/>
                <w:kern w:val="0"/>
                <w:szCs w:val="21"/>
                <w:lang w:eastAsia="zh-CN"/>
                <w14:textFill>
                  <w14:solidFill>
                    <w14:schemeClr w14:val="tx1"/>
                  </w14:solidFill>
                </w14:textFill>
              </w:rPr>
              <w:t>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60158"/>
      <w:bookmarkStart w:id="2" w:name="_Toc304219257"/>
      <w:bookmarkStart w:id="3" w:name="_Toc17030"/>
      <w:bookmarkStart w:id="4" w:name="_Toc10762"/>
      <w:bookmarkStart w:id="5" w:name="_Toc248896063"/>
      <w:bookmarkStart w:id="6" w:name="_Toc15313"/>
      <w:bookmarkStart w:id="7" w:name="_Toc219626747"/>
      <w:bookmarkStart w:id="8" w:name="_Toc258333636"/>
      <w:bookmarkStart w:id="9" w:name="_Toc258360269"/>
      <w:bookmarkStart w:id="10" w:name="_Toc258354146"/>
      <w:bookmarkStart w:id="11" w:name="_Toc320878640"/>
      <w:bookmarkStart w:id="12" w:name="_Toc337554724"/>
      <w:bookmarkStart w:id="13" w:name="_Toc9548"/>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7787ABD"/>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5F65B2"/>
    <w:rsid w:val="246624B2"/>
    <w:rsid w:val="24DF7354"/>
    <w:rsid w:val="24FE3AD7"/>
    <w:rsid w:val="25E13CF1"/>
    <w:rsid w:val="2643733F"/>
    <w:rsid w:val="264A511E"/>
    <w:rsid w:val="265903D8"/>
    <w:rsid w:val="278100C0"/>
    <w:rsid w:val="288B4898"/>
    <w:rsid w:val="2A7E0BB7"/>
    <w:rsid w:val="2B0A7B44"/>
    <w:rsid w:val="2F632DBF"/>
    <w:rsid w:val="30217C48"/>
    <w:rsid w:val="31827FC3"/>
    <w:rsid w:val="33DB455A"/>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16412D7"/>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2020-11-24T09:00:00Z</cp:lastPrinted>
  <dcterms:modified xsi:type="dcterms:W3CDTF">2020-11-26T01:38:16Z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