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jc w:val="center"/>
        <w:rPr>
          <w:rFonts w:ascii="宋体" w:hAnsi="宋体" w:eastAsia="宋体" w:cs="宋体"/>
        </w:rPr>
      </w:pPr>
      <w:r>
        <w:rPr>
          <w:rFonts w:hint="eastAsia" w:ascii="宋体" w:hAnsi="宋体" w:eastAsia="宋体" w:cs="宋体"/>
        </w:rPr>
        <w:t>河南省财政电子票据建设项目招标参数</w:t>
      </w:r>
    </w:p>
    <w:p>
      <w:pPr>
        <w:ind w:firstLine="480"/>
      </w:pPr>
    </w:p>
    <w:p>
      <w:pPr>
        <w:pStyle w:val="3"/>
      </w:pPr>
      <w:r>
        <w:rPr>
          <w:rFonts w:hint="eastAsia"/>
        </w:rPr>
        <w:t>项目基本情况</w:t>
      </w:r>
    </w:p>
    <w:p>
      <w:pPr>
        <w:pStyle w:val="4"/>
      </w:pPr>
      <w:r>
        <w:rPr>
          <w:rFonts w:hint="eastAsia"/>
        </w:rPr>
        <w:t>项目背景</w:t>
      </w:r>
    </w:p>
    <w:p>
      <w:pPr>
        <w:pStyle w:val="2"/>
        <w:spacing w:after="0"/>
        <w:ind w:firstLine="480"/>
      </w:pPr>
      <w:r>
        <w:rPr>
          <w:rFonts w:hint="eastAsia"/>
        </w:rPr>
        <w:t>随着“互联网+”在我国的逐步发展，传统的纸质票据管理系统已经不能匹配现代社会信息化建设的步伐。2017年，财政部（财综〔2017〕32 号）明确财政电子票据的基本概念，要求各省、自治区、直辖市财政部门结合地方特点，开展本地实际的财政电子票据管理流程。2018年，财政部（财综〔2018〕62号），明确了全国范围积极推广财政电子票据管理改革工作。2020年，河南省财政厅下发了豫财非税【2020】2号、豫财非税【2020】3号文，并召开了全省电子票据改革推进会，对省本级用票单位和市县用票单位的电子票据改革工作明确了具体的完成时间。</w:t>
      </w:r>
    </w:p>
    <w:p>
      <w:pPr>
        <w:pStyle w:val="4"/>
      </w:pPr>
      <w:r>
        <w:rPr>
          <w:rFonts w:hint="eastAsia"/>
        </w:rPr>
        <w:t>建设目标</w:t>
      </w:r>
    </w:p>
    <w:p>
      <w:pPr>
        <w:pStyle w:val="2"/>
        <w:ind w:firstLine="480"/>
        <w:rPr>
          <w:rFonts w:ascii="宋体" w:hAnsi="宋体" w:cs="宋体"/>
        </w:rPr>
      </w:pPr>
      <w:r>
        <w:rPr>
          <w:rFonts w:hint="eastAsia" w:ascii="宋体" w:hAnsi="宋体" w:cs="宋体"/>
        </w:rPr>
        <w:t>依照国家电子票据改革的需要，严格遵循财政部的财政电子票据管理改革的标准规范和业务要求，以密码安全为支撑，按照用户方管理要求建设自建系统单位电子票据前置服务系统，包括票据模板下载、用户角色管理、开票网点管理、票据管理等模块。实现电子票据基于可信密码环境的制样、赋码、开具、传输、查验、入账、归档等全流程电子化管理及加密安全传输。满足财政电子票据电子化改革，实现采购方各个部门管理信息共享，为采购方票据管理提供及时、准确、全面的基础数据。实现自建系统单位财务票据电子化工作，解决纸质票据对账难、易出错的问题，节约财政票据印刷成本及人力资源成本。</w:t>
      </w:r>
    </w:p>
    <w:p>
      <w:pPr>
        <w:pStyle w:val="3"/>
      </w:pPr>
      <w:r>
        <w:rPr>
          <w:rFonts w:hint="eastAsia"/>
        </w:rPr>
        <w:t>采购要求</w:t>
      </w:r>
    </w:p>
    <w:p>
      <w:pPr>
        <w:pStyle w:val="4"/>
      </w:pPr>
      <w:r>
        <w:rPr>
          <w:rFonts w:hint="eastAsia"/>
        </w:rPr>
        <w:t>采购内容</w:t>
      </w:r>
    </w:p>
    <w:p>
      <w:pPr>
        <w:ind w:firstLine="480"/>
      </w:pPr>
      <w:r>
        <w:rPr>
          <w:rFonts w:hint="eastAsia"/>
        </w:rPr>
        <w:t>电子票据前置系统</w:t>
      </w:r>
      <w:r>
        <w:rPr>
          <w:rFonts w:hint="eastAsia"/>
          <w:lang w:eastAsia="zh-CN"/>
        </w:rPr>
        <w:t>（</w:t>
      </w:r>
      <w:r>
        <w:rPr>
          <w:rFonts w:hint="eastAsia"/>
          <w:lang w:val="en-US" w:eastAsia="zh-CN"/>
        </w:rPr>
        <w:t>含电子票据软件及应用服务器</w:t>
      </w:r>
      <w:r>
        <w:rPr>
          <w:rFonts w:hint="eastAsia"/>
          <w:lang w:eastAsia="zh-CN"/>
        </w:rPr>
        <w:t>）</w:t>
      </w:r>
      <w:r>
        <w:rPr>
          <w:rFonts w:hint="eastAsia"/>
        </w:rPr>
        <w:t>、前置服务一体机、单位数字证书</w:t>
      </w:r>
    </w:p>
    <w:p>
      <w:pPr>
        <w:pStyle w:val="4"/>
      </w:pPr>
      <w:r>
        <w:rPr>
          <w:rFonts w:hint="eastAsia"/>
        </w:rPr>
        <w:t>采购产品技术参数及描述</w:t>
      </w:r>
    </w:p>
    <w:p>
      <w:pPr>
        <w:pStyle w:val="5"/>
        <w:rPr>
          <w:rFonts w:ascii="黑体" w:hAnsi="黑体"/>
          <w:sz w:val="30"/>
          <w:szCs w:val="30"/>
        </w:rPr>
      </w:pPr>
      <w:r>
        <w:rPr>
          <w:rFonts w:hint="eastAsia" w:ascii="黑体" w:hAnsi="黑体"/>
          <w:sz w:val="30"/>
          <w:szCs w:val="30"/>
        </w:rPr>
        <w:t>电子票据前置系统</w:t>
      </w:r>
    </w:p>
    <w:p>
      <w:pPr>
        <w:ind w:firstLine="480"/>
        <w:rPr>
          <w:rFonts w:hint="eastAsia" w:ascii="宋体" w:hAnsi="宋体"/>
          <w:szCs w:val="28"/>
        </w:rPr>
      </w:pPr>
      <w:r>
        <w:rPr>
          <w:rFonts w:hint="eastAsia" w:ascii="宋体" w:hAnsi="宋体"/>
          <w:szCs w:val="28"/>
        </w:rPr>
        <w:t>电子票据前置系统</w:t>
      </w:r>
      <w:r>
        <w:rPr>
          <w:rFonts w:hint="eastAsia"/>
          <w:lang w:eastAsia="zh-CN"/>
        </w:rPr>
        <w:t>（</w:t>
      </w:r>
      <w:r>
        <w:rPr>
          <w:rFonts w:hint="eastAsia"/>
          <w:lang w:val="en-US" w:eastAsia="zh-CN"/>
        </w:rPr>
        <w:t>含电子票据软件及应用服务器</w:t>
      </w:r>
      <w:r>
        <w:rPr>
          <w:rFonts w:hint="eastAsia"/>
          <w:lang w:eastAsia="zh-CN"/>
        </w:rPr>
        <w:t>）</w:t>
      </w:r>
      <w:r>
        <w:rPr>
          <w:rFonts w:hint="eastAsia" w:ascii="宋体" w:hAnsi="宋体"/>
          <w:szCs w:val="28"/>
        </w:rPr>
        <w:t>是为满足医疗收费电子票据改革的需要，严格遵循财政厅制定的电子票据标准规范及业务要求建设的应用系统，通过该系统实现了医疗收费电子票据从申领到入账的全流程电子化管理，解决了传统收费票据管理成本高、数据核对难、业务操作繁杂、票据伪造多等问题。</w:t>
      </w:r>
    </w:p>
    <w:p>
      <w:pPr>
        <w:pStyle w:val="2"/>
        <w:numPr>
          <w:ilvl w:val="0"/>
          <w:numId w:val="2"/>
        </w:numPr>
        <w:ind w:left="425" w:leftChars="0" w:hanging="425" w:firstLineChars="0"/>
        <w:rPr>
          <w:rFonts w:hint="eastAsia"/>
          <w:b/>
          <w:bCs/>
        </w:rPr>
      </w:pPr>
      <w:r>
        <w:rPr>
          <w:rFonts w:hint="eastAsia" w:ascii="宋体" w:hAnsi="宋体"/>
          <w:b/>
          <w:bCs/>
          <w:szCs w:val="28"/>
          <w:lang w:val="en-US" w:eastAsia="zh-CN"/>
        </w:rPr>
        <w:t>功能参数要求</w:t>
      </w:r>
    </w:p>
    <w:tbl>
      <w:tblPr>
        <w:tblStyle w:val="19"/>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085"/>
        <w:gridCol w:w="4576"/>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Align w:val="center"/>
          </w:tcPr>
          <w:p>
            <w:pPr>
              <w:spacing w:line="240" w:lineRule="auto"/>
              <w:ind w:firstLine="0" w:firstLineChars="0"/>
              <w:jc w:val="center"/>
              <w:rPr>
                <w:rFonts w:hint="eastAsia"/>
                <w:vertAlign w:val="baseline"/>
              </w:rPr>
            </w:pPr>
            <w:r>
              <w:rPr>
                <w:rFonts w:hint="eastAsia" w:ascii="宋体" w:hAnsi="宋体"/>
                <w:b/>
                <w:bCs/>
                <w:sz w:val="21"/>
                <w:szCs w:val="21"/>
              </w:rPr>
              <w:t>序号</w:t>
            </w:r>
          </w:p>
        </w:tc>
        <w:tc>
          <w:tcPr>
            <w:tcW w:w="2085" w:type="dxa"/>
            <w:vAlign w:val="center"/>
          </w:tcPr>
          <w:p>
            <w:pPr>
              <w:spacing w:line="240" w:lineRule="auto"/>
              <w:ind w:firstLine="0" w:firstLineChars="0"/>
              <w:jc w:val="center"/>
              <w:rPr>
                <w:rFonts w:hint="eastAsia"/>
                <w:vertAlign w:val="baseline"/>
              </w:rPr>
            </w:pPr>
            <w:r>
              <w:rPr>
                <w:rFonts w:hint="eastAsia" w:ascii="宋体" w:hAnsi="宋体"/>
                <w:b/>
                <w:bCs/>
                <w:sz w:val="21"/>
                <w:szCs w:val="21"/>
              </w:rPr>
              <w:t>产品名称</w:t>
            </w:r>
          </w:p>
        </w:tc>
        <w:tc>
          <w:tcPr>
            <w:tcW w:w="4576" w:type="dxa"/>
            <w:vAlign w:val="center"/>
          </w:tcPr>
          <w:p>
            <w:pPr>
              <w:spacing w:line="240" w:lineRule="auto"/>
              <w:ind w:firstLine="0" w:firstLineChars="0"/>
              <w:jc w:val="center"/>
              <w:rPr>
                <w:rFonts w:hint="eastAsia"/>
                <w:vertAlign w:val="baseline"/>
              </w:rPr>
            </w:pPr>
            <w:r>
              <w:rPr>
                <w:rFonts w:hint="eastAsia" w:ascii="宋体" w:hAnsi="宋体"/>
                <w:b/>
                <w:bCs/>
                <w:sz w:val="21"/>
                <w:szCs w:val="21"/>
              </w:rPr>
              <w:t>功能参数</w:t>
            </w:r>
          </w:p>
        </w:tc>
        <w:tc>
          <w:tcPr>
            <w:tcW w:w="1462" w:type="dxa"/>
            <w:vAlign w:val="center"/>
          </w:tcPr>
          <w:p>
            <w:pPr>
              <w:spacing w:line="240" w:lineRule="auto"/>
              <w:ind w:firstLine="0" w:firstLineChars="0"/>
              <w:jc w:val="center"/>
              <w:rPr>
                <w:rFonts w:hint="eastAsia"/>
                <w:vertAlign w:val="baseline"/>
              </w:rPr>
            </w:pPr>
            <w:r>
              <w:rPr>
                <w:rFonts w:hint="eastAsia" w:ascii="宋体" w:hAnsi="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085" w:type="dxa"/>
            <w:vAlign w:val="center"/>
          </w:tcPr>
          <w:p>
            <w:pPr>
              <w:ind w:left="0" w:leftChars="0" w:firstLine="0" w:firstLineChars="0"/>
              <w:jc w:val="center"/>
              <w:rPr>
                <w:rFonts w:hint="eastAsia" w:ascii="宋体" w:hAnsi="宋体" w:eastAsia="宋体" w:cs="宋体"/>
                <w:sz w:val="21"/>
                <w:szCs w:val="21"/>
                <w:vertAlign w:val="baseline"/>
              </w:rPr>
            </w:pPr>
            <w:r>
              <w:rPr>
                <w:rFonts w:hint="eastAsia" w:ascii="宋体" w:hAnsi="宋体" w:eastAsia="宋体" w:cs="宋体"/>
                <w:sz w:val="21"/>
                <w:szCs w:val="21"/>
              </w:rPr>
              <w:t>电子票据前置系统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电子票据软件</w:t>
            </w:r>
            <w:r>
              <w:rPr>
                <w:rFonts w:hint="eastAsia" w:ascii="宋体" w:hAnsi="宋体" w:eastAsia="宋体" w:cs="宋体"/>
                <w:sz w:val="21"/>
                <w:szCs w:val="21"/>
                <w:lang w:eastAsia="zh-CN"/>
              </w:rPr>
              <w:t>）</w:t>
            </w:r>
          </w:p>
        </w:tc>
        <w:tc>
          <w:tcPr>
            <w:tcW w:w="4576" w:type="dxa"/>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医疗非税电子票据系统：实现对电子票据的入库、开具、告知、传输、查验、入账核对、归档查询、统计分析等功能。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与医院HIS系统对接：与医院HIS系统接口对接，通过该接口获取待开票的门诊和住院患者收费结算数据，自动批量开具电子票据，向HIS系统返回已开票结果。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与医院财务系统对接：为医院提供电子票据入账接口服务，供用户方调用，通过该接口获取待入账的电子票据，进行电子票据入账办理，实现单位电子票据的便利入账。</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vertAlign w:val="baseline"/>
              </w:rPr>
            </w:pPr>
            <w:r>
              <w:rPr>
                <w:rFonts w:hint="eastAsia" w:ascii="宋体" w:hAnsi="宋体" w:eastAsia="宋体" w:cs="宋体"/>
                <w:sz w:val="21"/>
                <w:szCs w:val="21"/>
                <w:vertAlign w:val="baseline"/>
              </w:rPr>
              <w:t>与医院信息查询平台的对接：为医院的外网网站、微信公众号、支付宝、小程序、手机 APP 、短信群发平台等信息查询平台提供接口服务，方便缴款人通过信息查询平台查询电子票据信息。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ascii="宋体" w:hAnsi="宋体" w:eastAsia="宋体" w:cs="宋体"/>
                <w:sz w:val="21"/>
                <w:szCs w:val="21"/>
                <w:vertAlign w:val="baseline"/>
              </w:rPr>
              <w:t>从验收合格之日起免费提供1年维保服务。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085" w:type="dxa"/>
            <w:vMerge w:val="restart"/>
            <w:vAlign w:val="center"/>
          </w:tcPr>
          <w:p>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电子票据前置系统（应用服务器）</w:t>
            </w:r>
          </w:p>
        </w:tc>
        <w:tc>
          <w:tcPr>
            <w:tcW w:w="4576" w:type="dxa"/>
          </w:tcPr>
          <w:p>
            <w:pPr>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2U机架式</w:t>
            </w:r>
            <w:r>
              <w:rPr>
                <w:rFonts w:hint="eastAsia" w:ascii="宋体" w:hAnsi="宋体" w:cs="宋体"/>
                <w:sz w:val="21"/>
                <w:szCs w:val="21"/>
                <w:lang w:val="en-US" w:eastAsia="zh-CN"/>
              </w:rPr>
              <w:t>设备</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rPr>
            </w:pPr>
            <w:r>
              <w:rPr>
                <w:rFonts w:hint="eastAsia" w:ascii="宋体" w:hAnsi="宋体" w:eastAsia="宋体" w:cs="宋体"/>
                <w:sz w:val="21"/>
                <w:szCs w:val="21"/>
                <w:vertAlign w:val="baseline"/>
              </w:rPr>
              <w:t>从验收合格之日起免费提供</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年维保服务。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Merge w:val="continue"/>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vertAlign w:val="baseline"/>
                <w:lang w:val="en-US" w:eastAsia="zh-CN"/>
              </w:rPr>
            </w:pPr>
          </w:p>
        </w:tc>
        <w:tc>
          <w:tcPr>
            <w:tcW w:w="2085" w:type="dxa"/>
            <w:vMerge w:val="continue"/>
          </w:tcPr>
          <w:p>
            <w:pPr>
              <w:ind w:left="0" w:leftChars="0" w:firstLine="0" w:firstLineChars="0"/>
              <w:rPr>
                <w:rFonts w:hint="eastAsia" w:ascii="宋体" w:hAnsi="宋体" w:eastAsia="宋体" w:cs="宋体"/>
                <w:sz w:val="21"/>
                <w:szCs w:val="21"/>
                <w:lang w:val="en-US" w:eastAsia="zh-CN"/>
              </w:rPr>
            </w:pPr>
          </w:p>
        </w:tc>
        <w:tc>
          <w:tcPr>
            <w:tcW w:w="4576" w:type="dxa"/>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处理器：CPU-3204(1.9GHz/6-Core/8.25MB/85W)</w:t>
            </w:r>
          </w:p>
        </w:tc>
        <w:tc>
          <w:tcPr>
            <w:tcW w:w="1462"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Merge w:val="continue"/>
          </w:tcPr>
          <w:p>
            <w:pPr>
              <w:rPr>
                <w:rFonts w:hint="eastAsia"/>
                <w:vertAlign w:val="baseline"/>
                <w:lang w:val="en-US" w:eastAsia="zh-CN"/>
              </w:rPr>
            </w:pPr>
          </w:p>
        </w:tc>
        <w:tc>
          <w:tcPr>
            <w:tcW w:w="2085" w:type="dxa"/>
            <w:vMerge w:val="continue"/>
          </w:tcPr>
          <w:p>
            <w:pPr>
              <w:ind w:left="0" w:leftChars="0" w:firstLine="0" w:firstLineChars="0"/>
              <w:rPr>
                <w:rFonts w:hint="eastAsia" w:ascii="宋体" w:hAnsi="宋体" w:eastAsia="宋体" w:cs="宋体"/>
                <w:sz w:val="21"/>
                <w:szCs w:val="21"/>
                <w:lang w:val="en-US" w:eastAsia="zh-CN"/>
              </w:rPr>
            </w:pPr>
          </w:p>
        </w:tc>
        <w:tc>
          <w:tcPr>
            <w:tcW w:w="4576" w:type="dxa"/>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内存：1条DDR4 32GB</w:t>
            </w:r>
          </w:p>
        </w:tc>
        <w:tc>
          <w:tcPr>
            <w:tcW w:w="1462"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Merge w:val="continue"/>
          </w:tcPr>
          <w:p>
            <w:pPr>
              <w:rPr>
                <w:rFonts w:hint="eastAsia"/>
                <w:vertAlign w:val="baseline"/>
                <w:lang w:val="en-US" w:eastAsia="zh-CN"/>
              </w:rPr>
            </w:pPr>
          </w:p>
        </w:tc>
        <w:tc>
          <w:tcPr>
            <w:tcW w:w="2085" w:type="dxa"/>
            <w:vMerge w:val="continue"/>
          </w:tcPr>
          <w:p>
            <w:pPr>
              <w:ind w:left="0" w:leftChars="0" w:firstLine="0" w:firstLineChars="0"/>
              <w:rPr>
                <w:rFonts w:hint="eastAsia" w:ascii="宋体" w:hAnsi="宋体" w:eastAsia="宋体" w:cs="宋体"/>
                <w:sz w:val="21"/>
                <w:szCs w:val="21"/>
                <w:lang w:val="en-US" w:eastAsia="zh-CN"/>
              </w:rPr>
            </w:pPr>
          </w:p>
        </w:tc>
        <w:tc>
          <w:tcPr>
            <w:tcW w:w="4576" w:type="dxa"/>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硬盘：3*1.2TB SAS 2.5寸硬盘</w:t>
            </w:r>
          </w:p>
        </w:tc>
        <w:tc>
          <w:tcPr>
            <w:tcW w:w="1462"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Merge w:val="continue"/>
          </w:tcPr>
          <w:p>
            <w:pPr>
              <w:rPr>
                <w:rFonts w:hint="eastAsia"/>
                <w:vertAlign w:val="baseline"/>
                <w:lang w:val="en-US" w:eastAsia="zh-CN"/>
              </w:rPr>
            </w:pPr>
          </w:p>
        </w:tc>
        <w:tc>
          <w:tcPr>
            <w:tcW w:w="2085" w:type="dxa"/>
            <w:vMerge w:val="continue"/>
          </w:tcPr>
          <w:p>
            <w:pPr>
              <w:ind w:left="0" w:leftChars="0" w:firstLine="0" w:firstLineChars="0"/>
              <w:rPr>
                <w:rFonts w:hint="eastAsia" w:ascii="宋体" w:hAnsi="宋体" w:eastAsia="宋体" w:cs="宋体"/>
                <w:sz w:val="21"/>
                <w:szCs w:val="21"/>
                <w:lang w:val="en-US" w:eastAsia="zh-CN"/>
              </w:rPr>
            </w:pPr>
          </w:p>
        </w:tc>
        <w:tc>
          <w:tcPr>
            <w:tcW w:w="4576" w:type="dxa"/>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Raid卡型号：SR430C-M 1G</w:t>
            </w:r>
          </w:p>
        </w:tc>
        <w:tc>
          <w:tcPr>
            <w:tcW w:w="1462"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Merge w:val="continue"/>
          </w:tcPr>
          <w:p>
            <w:pPr>
              <w:rPr>
                <w:rFonts w:hint="eastAsia"/>
                <w:vertAlign w:val="baseline"/>
                <w:lang w:val="en-US" w:eastAsia="zh-CN"/>
              </w:rPr>
            </w:pPr>
          </w:p>
        </w:tc>
        <w:tc>
          <w:tcPr>
            <w:tcW w:w="2085" w:type="dxa"/>
            <w:vMerge w:val="continue"/>
          </w:tcPr>
          <w:p>
            <w:pPr>
              <w:ind w:left="0" w:leftChars="0" w:firstLine="0" w:firstLineChars="0"/>
              <w:rPr>
                <w:rFonts w:hint="eastAsia" w:ascii="宋体" w:hAnsi="宋体" w:eastAsia="宋体" w:cs="宋体"/>
                <w:sz w:val="21"/>
                <w:szCs w:val="21"/>
                <w:lang w:val="en-US" w:eastAsia="zh-CN"/>
              </w:rPr>
            </w:pPr>
          </w:p>
        </w:tc>
        <w:tc>
          <w:tcPr>
            <w:tcW w:w="4576" w:type="dxa"/>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3*x8 (x16 slot) RISER1 模组</w:t>
            </w:r>
          </w:p>
        </w:tc>
        <w:tc>
          <w:tcPr>
            <w:tcW w:w="1462"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Merge w:val="continue"/>
          </w:tcPr>
          <w:p>
            <w:pPr>
              <w:rPr>
                <w:rFonts w:hint="eastAsia"/>
                <w:vertAlign w:val="baseline"/>
                <w:lang w:val="en-US" w:eastAsia="zh-CN"/>
              </w:rPr>
            </w:pPr>
          </w:p>
        </w:tc>
        <w:tc>
          <w:tcPr>
            <w:tcW w:w="2085" w:type="dxa"/>
            <w:vMerge w:val="continue"/>
          </w:tcPr>
          <w:p>
            <w:pPr>
              <w:ind w:left="0" w:leftChars="0" w:firstLine="0" w:firstLineChars="0"/>
              <w:rPr>
                <w:rFonts w:hint="eastAsia" w:ascii="宋体" w:hAnsi="宋体" w:eastAsia="宋体" w:cs="宋体"/>
                <w:sz w:val="21"/>
                <w:szCs w:val="21"/>
                <w:lang w:val="en-US" w:eastAsia="zh-CN"/>
              </w:rPr>
            </w:pPr>
          </w:p>
        </w:tc>
        <w:tc>
          <w:tcPr>
            <w:tcW w:w="4576" w:type="dxa"/>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2个550W交流电源 </w:t>
            </w:r>
          </w:p>
        </w:tc>
        <w:tc>
          <w:tcPr>
            <w:tcW w:w="1462" w:type="dxa"/>
            <w:vMerge w:val="continue"/>
          </w:tcPr>
          <w:p>
            <w:pPr>
              <w:rPr>
                <w:rFonts w:hint="eastAsia"/>
                <w:vertAlign w:val="baseline"/>
              </w:rPr>
            </w:pPr>
          </w:p>
        </w:tc>
      </w:tr>
    </w:tbl>
    <w:p>
      <w:pPr>
        <w:pStyle w:val="2"/>
        <w:numPr>
          <w:ilvl w:val="0"/>
          <w:numId w:val="3"/>
        </w:numPr>
        <w:ind w:left="425" w:leftChars="0" w:hanging="425" w:firstLineChars="0"/>
        <w:rPr>
          <w:rFonts w:hint="default" w:ascii="宋体" w:hAnsi="宋体" w:eastAsia="宋体" w:cs="Times New Roman"/>
          <w:b/>
          <w:bCs/>
          <w:szCs w:val="28"/>
          <w:lang w:val="en-US" w:eastAsia="zh-CN"/>
        </w:rPr>
      </w:pPr>
      <w:r>
        <w:rPr>
          <w:rFonts w:hint="eastAsia" w:ascii="宋体" w:hAnsi="宋体" w:eastAsia="宋体" w:cs="Times New Roman"/>
          <w:b/>
          <w:bCs/>
          <w:szCs w:val="28"/>
          <w:lang w:val="en-US" w:eastAsia="zh-CN"/>
        </w:rPr>
        <w:t>产品资质要求</w:t>
      </w:r>
    </w:p>
    <w:p>
      <w:pPr>
        <w:ind w:firstLine="480"/>
        <w:rPr>
          <w:rFonts w:hint="default" w:ascii="宋体" w:hAnsi="宋体" w:eastAsia="宋体" w:cs="Times New Roman"/>
          <w:szCs w:val="28"/>
          <w:lang w:val="en-US" w:eastAsia="zh-CN"/>
        </w:rPr>
      </w:pPr>
      <w:r>
        <w:rPr>
          <w:rFonts w:hint="eastAsia" w:ascii="宋体" w:hAnsi="宋体"/>
          <w:szCs w:val="28"/>
        </w:rPr>
        <w:t>电子票据前置系统</w:t>
      </w:r>
      <w:r>
        <w:rPr>
          <w:rFonts w:hint="eastAsia"/>
          <w:lang w:eastAsia="zh-CN"/>
        </w:rPr>
        <w:t>（</w:t>
      </w:r>
      <w:r>
        <w:rPr>
          <w:rFonts w:hint="eastAsia"/>
          <w:lang w:val="en-US" w:eastAsia="zh-CN"/>
        </w:rPr>
        <w:t>电子票据软件</w:t>
      </w:r>
      <w:r>
        <w:rPr>
          <w:rFonts w:hint="eastAsia"/>
          <w:lang w:eastAsia="zh-CN"/>
        </w:rPr>
        <w:t>）</w:t>
      </w:r>
      <w:r>
        <w:rPr>
          <w:rFonts w:hint="eastAsia" w:ascii="宋体" w:hAnsi="宋体"/>
          <w:szCs w:val="28"/>
          <w:lang w:val="en-US" w:eastAsia="zh-CN"/>
        </w:rPr>
        <w:t>须</w:t>
      </w:r>
      <w:r>
        <w:rPr>
          <w:rFonts w:hint="eastAsia" w:ascii="宋体" w:hAnsi="宋体" w:eastAsia="宋体" w:cs="Times New Roman"/>
          <w:szCs w:val="28"/>
          <w:lang w:val="en-US" w:eastAsia="zh-CN"/>
        </w:rPr>
        <w:t>具备《计算机软件著作权登记证书》，并提供证明材料；</w:t>
      </w:r>
    </w:p>
    <w:p>
      <w:pPr>
        <w:pStyle w:val="5"/>
        <w:rPr>
          <w:rFonts w:ascii="黑体" w:hAnsi="黑体"/>
          <w:sz w:val="30"/>
          <w:szCs w:val="30"/>
        </w:rPr>
      </w:pPr>
      <w:r>
        <w:rPr>
          <w:rFonts w:hint="eastAsia" w:ascii="黑体" w:hAnsi="黑体"/>
          <w:sz w:val="30"/>
          <w:szCs w:val="30"/>
        </w:rPr>
        <w:t>前置服务一体机规格参数</w:t>
      </w:r>
    </w:p>
    <w:tbl>
      <w:tblPr>
        <w:tblStyle w:val="19"/>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41"/>
        <w:gridCol w:w="973"/>
        <w:gridCol w:w="697"/>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1" w:type="dxa"/>
          </w:tcPr>
          <w:p>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214" w:type="dxa"/>
            <w:gridSpan w:val="2"/>
          </w:tcPr>
          <w:p>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5517" w:type="dxa"/>
            <w:gridSpan w:val="2"/>
          </w:tcPr>
          <w:p>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41" w:type="dxa"/>
            <w:vMerge w:val="restart"/>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前置服务一体机</w:t>
            </w:r>
          </w:p>
        </w:tc>
        <w:tc>
          <w:tcPr>
            <w:tcW w:w="973" w:type="dxa"/>
            <w:vMerge w:val="restart"/>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基本配置</w:t>
            </w:r>
          </w:p>
        </w:tc>
        <w:tc>
          <w:tcPr>
            <w:tcW w:w="697" w:type="dxa"/>
            <w:vMerge w:val="restart"/>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处理器</w:t>
            </w: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★采用Intel Xeon SCALABLE 系列处理器，主频:≥1.7GHz，≥6核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vMerge w:val="continue"/>
          </w:tcPr>
          <w:p>
            <w:pPr>
              <w:widowControl/>
              <w:spacing w:line="240" w:lineRule="auto"/>
              <w:ind w:firstLine="0" w:firstLineChars="0"/>
              <w:jc w:val="left"/>
              <w:rPr>
                <w:rFonts w:hint="eastAsia" w:ascii="宋体" w:hAnsi="宋体" w:eastAsia="宋体" w:cs="宋体"/>
                <w:color w:val="000000"/>
                <w:sz w:val="21"/>
                <w:szCs w:val="21"/>
              </w:rPr>
            </w:pP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★处理器配置数目≥1个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vMerge w:val="restart"/>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内存</w:t>
            </w: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内存类型：ECC DDR4 2666MHz RDIMM内存插槽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vMerge w:val="continue"/>
          </w:tcPr>
          <w:p>
            <w:pPr>
              <w:widowControl/>
              <w:spacing w:line="240" w:lineRule="auto"/>
              <w:ind w:firstLine="0" w:firstLineChars="0"/>
              <w:jc w:val="left"/>
              <w:rPr>
                <w:rFonts w:hint="eastAsia" w:ascii="宋体" w:hAnsi="宋体" w:eastAsia="宋体" w:cs="宋体"/>
                <w:color w:val="000000"/>
                <w:sz w:val="21"/>
                <w:szCs w:val="21"/>
              </w:rPr>
            </w:pP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★内存配置容量：≥16GB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vMerge w:val="continue"/>
          </w:tcPr>
          <w:p>
            <w:pPr>
              <w:widowControl/>
              <w:spacing w:line="240" w:lineRule="auto"/>
              <w:ind w:firstLine="0" w:firstLineChars="0"/>
              <w:jc w:val="left"/>
              <w:rPr>
                <w:rFonts w:hint="eastAsia" w:ascii="宋体" w:hAnsi="宋体" w:eastAsia="宋体" w:cs="宋体"/>
                <w:color w:val="000000"/>
                <w:sz w:val="21"/>
                <w:szCs w:val="21"/>
              </w:rPr>
            </w:pP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★内存插槽数≥24个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vMerge w:val="continue"/>
          </w:tcPr>
          <w:p>
            <w:pPr>
              <w:widowControl/>
              <w:spacing w:line="240" w:lineRule="auto"/>
              <w:ind w:firstLine="0" w:firstLineChars="0"/>
              <w:jc w:val="left"/>
              <w:rPr>
                <w:rFonts w:hint="eastAsia" w:ascii="宋体" w:hAnsi="宋体" w:eastAsia="宋体" w:cs="宋体"/>
                <w:color w:val="000000"/>
                <w:sz w:val="21"/>
                <w:szCs w:val="21"/>
              </w:rPr>
            </w:pP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支持内存镜像、内存备用、故障内存离线指示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vMerge w:val="restart"/>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本地</w:t>
            </w:r>
          </w:p>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存储</w:t>
            </w: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内置硬盘类型：热插拔2.5英寸SAS/SATA/SSD硬盘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vMerge w:val="continue"/>
          </w:tcPr>
          <w:p>
            <w:pPr>
              <w:widowControl/>
              <w:spacing w:line="240" w:lineRule="auto"/>
              <w:ind w:firstLine="0" w:firstLineChars="0"/>
              <w:jc w:val="left"/>
              <w:rPr>
                <w:rFonts w:hint="eastAsia" w:ascii="宋体" w:hAnsi="宋体" w:eastAsia="宋体" w:cs="宋体"/>
                <w:color w:val="000000"/>
                <w:sz w:val="21"/>
                <w:szCs w:val="21"/>
              </w:rPr>
            </w:pP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★本次配置1块900G SAS硬盘做系统盘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vMerge w:val="continue"/>
          </w:tcPr>
          <w:p>
            <w:pPr>
              <w:widowControl/>
              <w:spacing w:line="240" w:lineRule="auto"/>
              <w:ind w:firstLine="0" w:firstLineChars="0"/>
              <w:jc w:val="left"/>
              <w:rPr>
                <w:rFonts w:hint="eastAsia" w:ascii="宋体" w:hAnsi="宋体" w:eastAsia="宋体" w:cs="宋体"/>
                <w:color w:val="000000"/>
                <w:sz w:val="21"/>
                <w:szCs w:val="21"/>
              </w:rPr>
            </w:pP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★支持硬盘插槽数≥31个2.5英寸SAS/SATA/SSD硬盘槽位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网卡</w:t>
            </w:r>
          </w:p>
        </w:tc>
        <w:tc>
          <w:tcPr>
            <w:tcW w:w="4820" w:type="dxa"/>
            <w:vAlign w:val="center"/>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★配置2个GE，2个10GE网口，可选配2*25GE或1/2个56G FDR IB接口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电源</w:t>
            </w: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配置一个热拔插电源模块，可支持1+1冗余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01" w:type="dxa"/>
            <w:vMerge w:val="continue"/>
          </w:tcPr>
          <w:p>
            <w:pPr>
              <w:spacing w:line="240" w:lineRule="auto"/>
              <w:ind w:firstLine="320"/>
              <w:rPr>
                <w:rFonts w:hint="eastAsia" w:ascii="宋体" w:hAnsi="宋体" w:eastAsia="宋体" w:cs="宋体"/>
                <w:sz w:val="21"/>
                <w:szCs w:val="21"/>
              </w:rPr>
            </w:pPr>
          </w:p>
        </w:tc>
        <w:tc>
          <w:tcPr>
            <w:tcW w:w="1241" w:type="dxa"/>
            <w:vMerge w:val="continue"/>
            <w:vAlign w:val="center"/>
          </w:tcPr>
          <w:p>
            <w:pPr>
              <w:spacing w:line="240" w:lineRule="auto"/>
              <w:ind w:firstLine="0" w:firstLineChars="0"/>
              <w:rPr>
                <w:rFonts w:hint="eastAsia" w:ascii="宋体" w:hAnsi="宋体" w:eastAsia="宋体" w:cs="宋体"/>
                <w:sz w:val="21"/>
                <w:szCs w:val="21"/>
              </w:rPr>
            </w:pPr>
          </w:p>
        </w:tc>
        <w:tc>
          <w:tcPr>
            <w:tcW w:w="973" w:type="dxa"/>
            <w:vMerge w:val="continue"/>
            <w:vAlign w:val="center"/>
          </w:tcPr>
          <w:p>
            <w:pPr>
              <w:spacing w:line="240" w:lineRule="auto"/>
              <w:ind w:firstLine="0" w:firstLineChars="0"/>
              <w:rPr>
                <w:rFonts w:hint="eastAsia" w:ascii="宋体" w:hAnsi="宋体" w:eastAsia="宋体" w:cs="宋体"/>
                <w:sz w:val="21"/>
                <w:szCs w:val="21"/>
              </w:rPr>
            </w:pPr>
          </w:p>
        </w:tc>
        <w:tc>
          <w:tcPr>
            <w:tcW w:w="697"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风扇</w:t>
            </w:r>
          </w:p>
        </w:tc>
        <w:tc>
          <w:tcPr>
            <w:tcW w:w="4820" w:type="dxa"/>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★满配4个热拔插对旋风扇,支持N+1冗余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1" w:type="dxa"/>
          </w:tcPr>
          <w:p>
            <w:pPr>
              <w:spacing w:line="240" w:lineRule="auto"/>
              <w:ind w:firstLine="320"/>
              <w:rPr>
                <w:rFonts w:hint="eastAsia" w:ascii="宋体" w:hAnsi="宋体" w:eastAsia="宋体" w:cs="宋体"/>
                <w:sz w:val="21"/>
                <w:szCs w:val="21"/>
              </w:rPr>
            </w:pPr>
            <w:r>
              <w:rPr>
                <w:rFonts w:hint="eastAsia" w:ascii="宋体" w:hAnsi="宋体" w:eastAsia="宋体" w:cs="宋体"/>
                <w:sz w:val="21"/>
                <w:szCs w:val="21"/>
              </w:rPr>
              <w:t>2</w:t>
            </w:r>
          </w:p>
        </w:tc>
        <w:tc>
          <w:tcPr>
            <w:tcW w:w="1241" w:type="dxa"/>
            <w:vMerge w:val="continue"/>
            <w:vAlign w:val="center"/>
          </w:tcPr>
          <w:p>
            <w:pPr>
              <w:spacing w:line="240" w:lineRule="auto"/>
              <w:ind w:firstLine="320"/>
              <w:rPr>
                <w:rFonts w:hint="eastAsia" w:ascii="宋体" w:hAnsi="宋体" w:eastAsia="宋体" w:cs="宋体"/>
                <w:sz w:val="21"/>
                <w:szCs w:val="21"/>
              </w:rPr>
            </w:pPr>
          </w:p>
        </w:tc>
        <w:tc>
          <w:tcPr>
            <w:tcW w:w="973"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产品型式</w:t>
            </w:r>
          </w:p>
        </w:tc>
        <w:tc>
          <w:tcPr>
            <w:tcW w:w="5517" w:type="dxa"/>
            <w:gridSpan w:val="2"/>
          </w:tcPr>
          <w:p>
            <w:pPr>
              <w:widowControl/>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1.密码卡符合规范《GMT 0028-2014 密码模块安全技术要求》，具有国家密码管理局颁发的商用密码产品型号证书（密码模块二级）</w:t>
            </w:r>
          </w:p>
          <w:p>
            <w:pPr>
              <w:widowControl/>
              <w:spacing w:line="240" w:lineRule="auto"/>
              <w:ind w:firstLine="0" w:firstLineChars="0"/>
              <w:jc w:val="left"/>
              <w:rPr>
                <w:rFonts w:hint="eastAsia" w:ascii="宋体" w:hAnsi="宋体" w:eastAsia="宋体" w:cs="宋体"/>
                <w:sz w:val="21"/>
                <w:szCs w:val="21"/>
              </w:rPr>
            </w:pPr>
            <w:r>
              <w:rPr>
                <w:rFonts w:hint="eastAsia" w:ascii="宋体" w:hAnsi="宋体" w:eastAsia="宋体" w:cs="宋体"/>
                <w:color w:val="000000"/>
                <w:sz w:val="21"/>
                <w:szCs w:val="21"/>
              </w:rPr>
              <w:t>2.产品核心芯片具备国家密码管理局颁发的商用密码产品型号证书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1" w:type="dxa"/>
          </w:tcPr>
          <w:p>
            <w:pPr>
              <w:spacing w:line="240" w:lineRule="auto"/>
              <w:ind w:firstLine="320"/>
              <w:rPr>
                <w:rFonts w:hint="eastAsia" w:ascii="宋体" w:hAnsi="宋体" w:eastAsia="宋体" w:cs="宋体"/>
                <w:sz w:val="21"/>
                <w:szCs w:val="21"/>
              </w:rPr>
            </w:pPr>
            <w:r>
              <w:rPr>
                <w:rFonts w:hint="eastAsia" w:ascii="宋体" w:hAnsi="宋体" w:eastAsia="宋体" w:cs="宋体"/>
                <w:sz w:val="21"/>
                <w:szCs w:val="21"/>
              </w:rPr>
              <w:t>3</w:t>
            </w:r>
          </w:p>
        </w:tc>
        <w:tc>
          <w:tcPr>
            <w:tcW w:w="1241" w:type="dxa"/>
            <w:vMerge w:val="continue"/>
            <w:vAlign w:val="center"/>
          </w:tcPr>
          <w:p>
            <w:pPr>
              <w:spacing w:line="240" w:lineRule="auto"/>
              <w:ind w:firstLine="320"/>
              <w:rPr>
                <w:rFonts w:hint="eastAsia" w:ascii="宋体" w:hAnsi="宋体" w:eastAsia="宋体" w:cs="宋体"/>
                <w:sz w:val="21"/>
                <w:szCs w:val="21"/>
              </w:rPr>
            </w:pPr>
          </w:p>
        </w:tc>
        <w:tc>
          <w:tcPr>
            <w:tcW w:w="973"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一般要求</w:t>
            </w:r>
          </w:p>
        </w:tc>
        <w:tc>
          <w:tcPr>
            <w:tcW w:w="5517" w:type="dxa"/>
            <w:gridSpan w:val="2"/>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1.结构应完整、整洁、无明显机械损伤，外观不可有金手指划伤,表面起泡、表面破损、氧化、生锈不良等</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2.印字清晰无误、无残缺</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3.工作电压：3.3V、12V</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4.工作温度：0℃～65℃</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5.存储温度：-10℃～85℃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1" w:type="dxa"/>
          </w:tcPr>
          <w:p>
            <w:pPr>
              <w:spacing w:line="240" w:lineRule="auto"/>
              <w:ind w:firstLine="320"/>
              <w:rPr>
                <w:rFonts w:hint="eastAsia" w:ascii="宋体" w:hAnsi="宋体" w:eastAsia="宋体" w:cs="宋体"/>
                <w:sz w:val="21"/>
                <w:szCs w:val="21"/>
              </w:rPr>
            </w:pPr>
            <w:r>
              <w:rPr>
                <w:rFonts w:hint="eastAsia" w:ascii="宋体" w:hAnsi="宋体" w:eastAsia="宋体" w:cs="宋体"/>
                <w:sz w:val="21"/>
                <w:szCs w:val="21"/>
              </w:rPr>
              <w:t>4</w:t>
            </w:r>
          </w:p>
        </w:tc>
        <w:tc>
          <w:tcPr>
            <w:tcW w:w="1241" w:type="dxa"/>
            <w:vMerge w:val="continue"/>
          </w:tcPr>
          <w:p>
            <w:pPr>
              <w:spacing w:line="240" w:lineRule="auto"/>
              <w:ind w:firstLine="320"/>
              <w:rPr>
                <w:rFonts w:hint="eastAsia" w:ascii="宋体" w:hAnsi="宋体" w:eastAsia="宋体" w:cs="宋体"/>
                <w:sz w:val="21"/>
                <w:szCs w:val="21"/>
              </w:rPr>
            </w:pPr>
          </w:p>
        </w:tc>
        <w:tc>
          <w:tcPr>
            <w:tcW w:w="973"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功能要求</w:t>
            </w:r>
          </w:p>
        </w:tc>
        <w:tc>
          <w:tcPr>
            <w:tcW w:w="5517" w:type="dxa"/>
            <w:gridSpan w:val="2"/>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1.支持ECB、CBC模式的SM1密码算法</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2.支持SM2密码算法，可在卡内进行加解密、签名验签、密钥对生成</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3.支持SM3密码算法</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4.支持ECB、CBC模式的SM4密码算法</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5.支持数据的安全存储功能</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6.支持对称密钥数量不小于1024个</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7.支持ECC密钥数量不小于1024对</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8.采用双物理噪声源生成真随机数</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9.支持密码卡全量密钥备份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1" w:type="dxa"/>
          </w:tcPr>
          <w:p>
            <w:pPr>
              <w:spacing w:line="240" w:lineRule="auto"/>
              <w:ind w:firstLine="320"/>
              <w:rPr>
                <w:rFonts w:hint="eastAsia" w:ascii="宋体" w:hAnsi="宋体" w:eastAsia="宋体" w:cs="宋体"/>
                <w:sz w:val="21"/>
                <w:szCs w:val="21"/>
              </w:rPr>
            </w:pPr>
            <w:r>
              <w:rPr>
                <w:rFonts w:hint="eastAsia" w:ascii="宋体" w:hAnsi="宋体" w:eastAsia="宋体" w:cs="宋体"/>
                <w:sz w:val="21"/>
                <w:szCs w:val="21"/>
              </w:rPr>
              <w:t>5</w:t>
            </w:r>
          </w:p>
        </w:tc>
        <w:tc>
          <w:tcPr>
            <w:tcW w:w="1241" w:type="dxa"/>
            <w:vMerge w:val="continue"/>
          </w:tcPr>
          <w:p>
            <w:pPr>
              <w:spacing w:line="240" w:lineRule="auto"/>
              <w:ind w:firstLine="320"/>
              <w:rPr>
                <w:rFonts w:hint="eastAsia" w:ascii="宋体" w:hAnsi="宋体" w:eastAsia="宋体" w:cs="宋体"/>
                <w:sz w:val="21"/>
                <w:szCs w:val="21"/>
              </w:rPr>
            </w:pPr>
          </w:p>
        </w:tc>
        <w:tc>
          <w:tcPr>
            <w:tcW w:w="973"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API接口要求</w:t>
            </w:r>
          </w:p>
        </w:tc>
        <w:tc>
          <w:tcPr>
            <w:tcW w:w="5517" w:type="dxa"/>
            <w:gridSpan w:val="2"/>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1.支持个性化接口定制开发，</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2.支持国内算法</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3.支持X86、ARM、PowerPC等架构下的API接口库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1" w:type="dxa"/>
          </w:tcPr>
          <w:p>
            <w:pPr>
              <w:spacing w:line="240" w:lineRule="auto"/>
              <w:ind w:firstLine="320"/>
              <w:rPr>
                <w:rFonts w:hint="eastAsia" w:ascii="宋体" w:hAnsi="宋体" w:eastAsia="宋体" w:cs="宋体"/>
                <w:sz w:val="21"/>
                <w:szCs w:val="21"/>
              </w:rPr>
            </w:pPr>
            <w:r>
              <w:rPr>
                <w:rFonts w:hint="eastAsia" w:ascii="宋体" w:hAnsi="宋体" w:eastAsia="宋体" w:cs="宋体"/>
                <w:sz w:val="21"/>
                <w:szCs w:val="21"/>
              </w:rPr>
              <w:t>6</w:t>
            </w:r>
          </w:p>
        </w:tc>
        <w:tc>
          <w:tcPr>
            <w:tcW w:w="1241" w:type="dxa"/>
            <w:vMerge w:val="continue"/>
          </w:tcPr>
          <w:p>
            <w:pPr>
              <w:spacing w:line="240" w:lineRule="auto"/>
              <w:ind w:firstLine="320"/>
              <w:rPr>
                <w:rFonts w:hint="eastAsia" w:ascii="宋体" w:hAnsi="宋体" w:eastAsia="宋体" w:cs="宋体"/>
                <w:sz w:val="21"/>
                <w:szCs w:val="21"/>
              </w:rPr>
            </w:pPr>
          </w:p>
        </w:tc>
        <w:tc>
          <w:tcPr>
            <w:tcW w:w="973"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性能要求</w:t>
            </w:r>
          </w:p>
        </w:tc>
        <w:tc>
          <w:tcPr>
            <w:tcW w:w="5517" w:type="dxa"/>
            <w:gridSpan w:val="2"/>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1.SM1加解密速度 ≥200Mbps</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2.SM4加解密速度 ≥150Mbps</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3.SM2生密钥≥2300次/秒</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4.SM2签名≥2000次/秒</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5.SM2验签≥1700次/秒</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6.SM3摘要≥150Mbps</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7.随机数生成≥2Mbps</w:t>
            </w:r>
          </w:p>
        </w:tc>
      </w:tr>
    </w:tbl>
    <w:p>
      <w:pPr>
        <w:pStyle w:val="5"/>
        <w:rPr>
          <w:rFonts w:ascii="黑体" w:hAnsi="黑体"/>
          <w:sz w:val="30"/>
          <w:szCs w:val="30"/>
        </w:rPr>
      </w:pPr>
      <w:r>
        <w:rPr>
          <w:rFonts w:hint="eastAsia" w:ascii="黑体" w:hAnsi="黑体"/>
          <w:sz w:val="30"/>
          <w:szCs w:val="30"/>
        </w:rPr>
        <w:t>单位数字证书</w:t>
      </w:r>
    </w:p>
    <w:tbl>
      <w:tblPr>
        <w:tblStyle w:val="1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80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ind w:firstLine="0" w:firstLineChars="0"/>
              <w:jc w:val="center"/>
              <w:rPr>
                <w:rFonts w:ascii="宋体" w:hAnsi="宋体"/>
                <w:b/>
                <w:sz w:val="21"/>
                <w:szCs w:val="21"/>
              </w:rPr>
            </w:pPr>
            <w:r>
              <w:rPr>
                <w:rFonts w:hint="eastAsia" w:ascii="宋体" w:hAnsi="宋体"/>
                <w:b/>
                <w:sz w:val="21"/>
                <w:szCs w:val="21"/>
              </w:rPr>
              <w:t>序号</w:t>
            </w:r>
          </w:p>
        </w:tc>
        <w:tc>
          <w:tcPr>
            <w:tcW w:w="6804" w:type="dxa"/>
          </w:tcPr>
          <w:p>
            <w:pPr>
              <w:ind w:firstLine="384" w:firstLineChars="182"/>
              <w:jc w:val="center"/>
              <w:rPr>
                <w:rFonts w:ascii="宋体" w:hAnsi="宋体"/>
                <w:b/>
                <w:sz w:val="21"/>
                <w:szCs w:val="21"/>
              </w:rPr>
            </w:pPr>
            <w:r>
              <w:rPr>
                <w:rFonts w:hint="eastAsia" w:ascii="宋体" w:hAnsi="宋体"/>
                <w:b/>
                <w:sz w:val="21"/>
                <w:szCs w:val="21"/>
              </w:rPr>
              <w:t>功能指标要求</w:t>
            </w:r>
          </w:p>
        </w:tc>
        <w:tc>
          <w:tcPr>
            <w:tcW w:w="908" w:type="dxa"/>
          </w:tcPr>
          <w:p>
            <w:pPr>
              <w:ind w:firstLine="0" w:firstLineChars="0"/>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ind w:firstLine="0" w:firstLineChars="0"/>
              <w:jc w:val="center"/>
              <w:rPr>
                <w:rFonts w:ascii="宋体" w:hAnsi="宋体"/>
                <w:sz w:val="21"/>
                <w:szCs w:val="21"/>
              </w:rPr>
            </w:pPr>
            <w:r>
              <w:rPr>
                <w:rFonts w:ascii="宋体" w:hAnsi="宋体"/>
                <w:sz w:val="21"/>
                <w:szCs w:val="21"/>
              </w:rPr>
              <w:t>1</w:t>
            </w:r>
          </w:p>
        </w:tc>
        <w:tc>
          <w:tcPr>
            <w:tcW w:w="6804" w:type="dxa"/>
          </w:tcPr>
          <w:p>
            <w:pPr>
              <w:ind w:firstLine="0" w:firstLineChars="0"/>
              <w:jc w:val="left"/>
              <w:rPr>
                <w:rFonts w:ascii="宋体" w:hAnsi="宋体"/>
                <w:color w:val="000000"/>
                <w:sz w:val="21"/>
                <w:szCs w:val="21"/>
              </w:rPr>
            </w:pPr>
            <w:r>
              <w:rPr>
                <w:rFonts w:hint="eastAsia" w:ascii="宋体" w:hAnsi="宋体"/>
                <w:color w:val="000000"/>
                <w:sz w:val="21"/>
                <w:szCs w:val="21"/>
              </w:rPr>
              <w:t>标识单位用户网络身份；</w:t>
            </w:r>
          </w:p>
        </w:tc>
        <w:tc>
          <w:tcPr>
            <w:tcW w:w="908" w:type="dxa"/>
            <w:vAlign w:val="center"/>
          </w:tcPr>
          <w:p>
            <w:pPr>
              <w:ind w:firstLine="48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ind w:firstLine="0" w:firstLineChars="0"/>
              <w:jc w:val="center"/>
              <w:rPr>
                <w:rFonts w:ascii="宋体" w:hAnsi="宋体"/>
                <w:sz w:val="21"/>
                <w:szCs w:val="21"/>
              </w:rPr>
            </w:pPr>
            <w:r>
              <w:rPr>
                <w:rFonts w:ascii="宋体" w:hAnsi="宋体"/>
                <w:sz w:val="21"/>
                <w:szCs w:val="21"/>
              </w:rPr>
              <w:t>2</w:t>
            </w:r>
          </w:p>
        </w:tc>
        <w:tc>
          <w:tcPr>
            <w:tcW w:w="6804" w:type="dxa"/>
          </w:tcPr>
          <w:p>
            <w:pPr>
              <w:ind w:firstLine="0" w:firstLineChars="0"/>
              <w:jc w:val="left"/>
              <w:rPr>
                <w:rFonts w:ascii="宋体" w:hAnsi="宋体"/>
                <w:color w:val="000000"/>
                <w:sz w:val="21"/>
                <w:szCs w:val="21"/>
              </w:rPr>
            </w:pPr>
            <w:r>
              <w:rPr>
                <w:rFonts w:hint="eastAsia" w:ascii="宋体" w:hAnsi="宋体"/>
                <w:color w:val="000000"/>
                <w:sz w:val="21"/>
                <w:szCs w:val="21"/>
              </w:rPr>
              <w:t>由权威合法的第三方CA机构签发，符合《x.509C的国内数字证书格式规范》。证书标准遵循 X.509 V3格式标准；</w:t>
            </w:r>
          </w:p>
        </w:tc>
        <w:tc>
          <w:tcPr>
            <w:tcW w:w="908" w:type="dxa"/>
            <w:vAlign w:val="center"/>
          </w:tcPr>
          <w:p>
            <w:pPr>
              <w:ind w:firstLine="48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ind w:firstLine="0" w:firstLineChars="0"/>
              <w:jc w:val="center"/>
              <w:rPr>
                <w:rFonts w:ascii="宋体" w:hAnsi="宋体"/>
                <w:sz w:val="21"/>
                <w:szCs w:val="21"/>
              </w:rPr>
            </w:pPr>
            <w:r>
              <w:rPr>
                <w:rFonts w:ascii="宋体" w:hAnsi="宋体"/>
                <w:sz w:val="21"/>
                <w:szCs w:val="21"/>
              </w:rPr>
              <w:t>3</w:t>
            </w:r>
          </w:p>
        </w:tc>
        <w:tc>
          <w:tcPr>
            <w:tcW w:w="6804" w:type="dxa"/>
          </w:tcPr>
          <w:p>
            <w:pPr>
              <w:ind w:firstLine="0" w:firstLineChars="0"/>
              <w:jc w:val="left"/>
              <w:rPr>
                <w:rFonts w:ascii="宋体" w:hAnsi="宋体"/>
                <w:color w:val="000000"/>
                <w:sz w:val="21"/>
                <w:szCs w:val="21"/>
              </w:rPr>
            </w:pPr>
            <w:r>
              <w:rPr>
                <w:rFonts w:hint="eastAsia" w:ascii="宋体" w:hAnsi="宋体"/>
                <w:color w:val="000000"/>
                <w:sz w:val="21"/>
                <w:szCs w:val="21"/>
              </w:rPr>
              <w:t>支持存储于智能USBKEY介质；</w:t>
            </w:r>
          </w:p>
        </w:tc>
        <w:tc>
          <w:tcPr>
            <w:tcW w:w="908" w:type="dxa"/>
            <w:vAlign w:val="center"/>
          </w:tcPr>
          <w:p>
            <w:pPr>
              <w:ind w:firstLine="48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ind w:firstLine="0" w:firstLineChars="0"/>
              <w:jc w:val="center"/>
              <w:rPr>
                <w:rFonts w:ascii="宋体" w:hAnsi="宋体"/>
                <w:sz w:val="21"/>
                <w:szCs w:val="21"/>
              </w:rPr>
            </w:pPr>
            <w:r>
              <w:rPr>
                <w:rFonts w:ascii="宋体" w:hAnsi="宋体"/>
                <w:sz w:val="21"/>
                <w:szCs w:val="21"/>
              </w:rPr>
              <w:t>4</w:t>
            </w:r>
          </w:p>
        </w:tc>
        <w:tc>
          <w:tcPr>
            <w:tcW w:w="6804" w:type="dxa"/>
          </w:tcPr>
          <w:p>
            <w:pPr>
              <w:ind w:firstLine="0" w:firstLineChars="0"/>
              <w:jc w:val="left"/>
              <w:rPr>
                <w:rFonts w:ascii="宋体" w:hAnsi="宋体"/>
                <w:color w:val="000000"/>
                <w:sz w:val="21"/>
                <w:szCs w:val="21"/>
              </w:rPr>
            </w:pPr>
            <w:r>
              <w:rPr>
                <w:rFonts w:hint="eastAsia" w:ascii="宋体" w:hAnsi="宋体"/>
                <w:color w:val="000000"/>
                <w:sz w:val="21"/>
                <w:szCs w:val="21"/>
              </w:rPr>
              <w:t>数字证书支持</w:t>
            </w:r>
            <w:r>
              <w:rPr>
                <w:rFonts w:ascii="宋体" w:hAnsi="宋体"/>
                <w:color w:val="000000"/>
                <w:sz w:val="21"/>
                <w:szCs w:val="21"/>
              </w:rPr>
              <w:t>RSA</w:t>
            </w:r>
            <w:r>
              <w:rPr>
                <w:rFonts w:hint="eastAsia" w:ascii="宋体" w:hAnsi="宋体"/>
                <w:color w:val="000000"/>
                <w:sz w:val="21"/>
                <w:szCs w:val="21"/>
              </w:rPr>
              <w:t>、</w:t>
            </w:r>
            <w:r>
              <w:rPr>
                <w:rFonts w:ascii="宋体" w:hAnsi="宋体"/>
                <w:color w:val="000000"/>
                <w:sz w:val="21"/>
                <w:szCs w:val="21"/>
              </w:rPr>
              <w:t>SM2</w:t>
            </w:r>
            <w:r>
              <w:rPr>
                <w:rFonts w:hint="eastAsia" w:ascii="宋体" w:hAnsi="宋体"/>
                <w:color w:val="000000"/>
                <w:sz w:val="21"/>
                <w:szCs w:val="21"/>
              </w:rPr>
              <w:t>算法；</w:t>
            </w:r>
          </w:p>
        </w:tc>
        <w:tc>
          <w:tcPr>
            <w:tcW w:w="908" w:type="dxa"/>
            <w:vAlign w:val="center"/>
          </w:tcPr>
          <w:p>
            <w:pPr>
              <w:ind w:firstLine="48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ind w:firstLine="0" w:firstLineChars="0"/>
              <w:jc w:val="center"/>
              <w:rPr>
                <w:rFonts w:ascii="宋体" w:hAnsi="宋体"/>
                <w:sz w:val="21"/>
                <w:szCs w:val="21"/>
              </w:rPr>
            </w:pPr>
            <w:r>
              <w:rPr>
                <w:rFonts w:ascii="宋体" w:hAnsi="宋体"/>
                <w:sz w:val="21"/>
                <w:szCs w:val="21"/>
              </w:rPr>
              <w:t>5</w:t>
            </w:r>
          </w:p>
        </w:tc>
        <w:tc>
          <w:tcPr>
            <w:tcW w:w="6804" w:type="dxa"/>
          </w:tcPr>
          <w:p>
            <w:pPr>
              <w:ind w:firstLine="0" w:firstLineChars="0"/>
              <w:jc w:val="left"/>
              <w:rPr>
                <w:rFonts w:ascii="宋体" w:hAnsi="宋体"/>
                <w:color w:val="000000"/>
                <w:sz w:val="21"/>
                <w:szCs w:val="21"/>
              </w:rPr>
            </w:pPr>
            <w:r>
              <w:rPr>
                <w:rFonts w:hint="eastAsia" w:ascii="宋体" w:hAnsi="宋体"/>
                <w:color w:val="000000"/>
                <w:sz w:val="21"/>
                <w:szCs w:val="21"/>
              </w:rPr>
              <w:t>支持自定义证书扩展域管理。</w:t>
            </w:r>
          </w:p>
        </w:tc>
        <w:tc>
          <w:tcPr>
            <w:tcW w:w="908" w:type="dxa"/>
            <w:vAlign w:val="center"/>
          </w:tcPr>
          <w:p>
            <w:pPr>
              <w:ind w:firstLine="48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ind w:firstLine="0" w:firstLineChars="0"/>
              <w:jc w:val="center"/>
              <w:rPr>
                <w:rFonts w:ascii="宋体" w:hAnsi="宋体"/>
                <w:b/>
                <w:sz w:val="21"/>
                <w:szCs w:val="21"/>
              </w:rPr>
            </w:pPr>
            <w:r>
              <w:rPr>
                <w:rFonts w:hint="eastAsia" w:ascii="宋体" w:hAnsi="宋体"/>
                <w:b/>
                <w:sz w:val="21"/>
                <w:szCs w:val="21"/>
              </w:rPr>
              <w:t>序号</w:t>
            </w:r>
          </w:p>
        </w:tc>
        <w:tc>
          <w:tcPr>
            <w:tcW w:w="6804" w:type="dxa"/>
          </w:tcPr>
          <w:p>
            <w:pPr>
              <w:ind w:firstLine="482"/>
              <w:jc w:val="center"/>
              <w:rPr>
                <w:rFonts w:ascii="宋体" w:hAnsi="宋体"/>
                <w:b/>
                <w:sz w:val="21"/>
                <w:szCs w:val="21"/>
              </w:rPr>
            </w:pPr>
            <w:r>
              <w:rPr>
                <w:rFonts w:hint="eastAsia" w:ascii="宋体" w:hAnsi="宋体"/>
                <w:b/>
                <w:sz w:val="21"/>
                <w:szCs w:val="21"/>
              </w:rPr>
              <w:t>产品资质要求</w:t>
            </w:r>
          </w:p>
        </w:tc>
        <w:tc>
          <w:tcPr>
            <w:tcW w:w="908" w:type="dxa"/>
            <w:vAlign w:val="center"/>
          </w:tcPr>
          <w:p>
            <w:pPr>
              <w:ind w:firstLine="482"/>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ind w:firstLine="0" w:firstLineChars="0"/>
              <w:jc w:val="center"/>
              <w:rPr>
                <w:rFonts w:ascii="宋体" w:hAnsi="宋体"/>
                <w:sz w:val="21"/>
                <w:szCs w:val="21"/>
              </w:rPr>
            </w:pPr>
            <w:r>
              <w:rPr>
                <w:rFonts w:ascii="宋体" w:hAnsi="宋体"/>
                <w:sz w:val="21"/>
                <w:szCs w:val="21"/>
              </w:rPr>
              <w:t>1</w:t>
            </w:r>
          </w:p>
        </w:tc>
        <w:tc>
          <w:tcPr>
            <w:tcW w:w="6804" w:type="dxa"/>
          </w:tcPr>
          <w:p>
            <w:pPr>
              <w:ind w:firstLine="0" w:firstLineChars="0"/>
              <w:rPr>
                <w:rFonts w:ascii="宋体" w:hAnsi="宋体"/>
                <w:sz w:val="21"/>
                <w:szCs w:val="21"/>
              </w:rPr>
            </w:pPr>
            <w:r>
              <w:rPr>
                <w:rFonts w:hint="eastAsia" w:ascii="宋体" w:hAnsi="宋体"/>
                <w:sz w:val="21"/>
                <w:szCs w:val="21"/>
              </w:rPr>
              <w:t>工业和信息化部颁发《电子认证服务许可证》</w:t>
            </w:r>
          </w:p>
        </w:tc>
        <w:tc>
          <w:tcPr>
            <w:tcW w:w="908" w:type="dxa"/>
            <w:vAlign w:val="center"/>
          </w:tcPr>
          <w:p>
            <w:pPr>
              <w:ind w:firstLine="48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ind w:firstLine="0" w:firstLineChars="0"/>
              <w:jc w:val="center"/>
              <w:rPr>
                <w:rFonts w:ascii="宋体" w:hAnsi="宋体"/>
                <w:sz w:val="21"/>
                <w:szCs w:val="21"/>
              </w:rPr>
            </w:pPr>
            <w:r>
              <w:rPr>
                <w:rFonts w:hint="eastAsia" w:ascii="宋体" w:hAnsi="宋体"/>
                <w:sz w:val="21"/>
                <w:szCs w:val="21"/>
              </w:rPr>
              <w:t>2</w:t>
            </w:r>
          </w:p>
        </w:tc>
        <w:tc>
          <w:tcPr>
            <w:tcW w:w="6804" w:type="dxa"/>
          </w:tcPr>
          <w:p>
            <w:pPr>
              <w:ind w:firstLine="0" w:firstLineChars="0"/>
              <w:rPr>
                <w:rFonts w:ascii="宋体" w:hAnsi="宋体"/>
                <w:sz w:val="21"/>
                <w:szCs w:val="21"/>
              </w:rPr>
            </w:pPr>
            <w:r>
              <w:rPr>
                <w:rFonts w:hint="eastAsia" w:ascii="宋体" w:hAnsi="宋体"/>
                <w:sz w:val="21"/>
                <w:szCs w:val="21"/>
              </w:rPr>
              <w:t>国家密码管理局颁发的《电子认证使用密码许可证》</w:t>
            </w:r>
          </w:p>
        </w:tc>
        <w:tc>
          <w:tcPr>
            <w:tcW w:w="908" w:type="dxa"/>
            <w:vAlign w:val="center"/>
          </w:tcPr>
          <w:p>
            <w:pPr>
              <w:ind w:firstLine="480"/>
              <w:jc w:val="center"/>
              <w:rPr>
                <w:rFonts w:ascii="宋体" w:hAnsi="宋体"/>
                <w:sz w:val="21"/>
                <w:szCs w:val="21"/>
              </w:rPr>
            </w:pPr>
          </w:p>
        </w:tc>
      </w:tr>
    </w:tbl>
    <w:p>
      <w:pPr>
        <w:pStyle w:val="4"/>
      </w:pPr>
      <w:r>
        <w:rPr>
          <w:rFonts w:hint="eastAsia"/>
        </w:rPr>
        <w:t>项目服务</w:t>
      </w:r>
    </w:p>
    <w:p>
      <w:pPr>
        <w:numPr>
          <w:ilvl w:val="0"/>
          <w:numId w:val="4"/>
        </w:numPr>
        <w:ind w:left="0" w:firstLine="480"/>
      </w:pPr>
      <w:r>
        <w:rPr>
          <w:rFonts w:hint="eastAsia"/>
        </w:rPr>
        <w:t>投标人应为采购人提供</w:t>
      </w:r>
      <w:r>
        <w:t>免费系统运维1年</w:t>
      </w:r>
      <w:r>
        <w:rPr>
          <w:rFonts w:hint="eastAsia"/>
        </w:rPr>
        <w:t>；</w:t>
      </w:r>
    </w:p>
    <w:p>
      <w:pPr>
        <w:numPr>
          <w:ilvl w:val="0"/>
          <w:numId w:val="4"/>
        </w:numPr>
        <w:ind w:left="0" w:firstLine="480"/>
      </w:pPr>
      <w:r>
        <w:rPr>
          <w:rFonts w:hint="eastAsia"/>
        </w:rPr>
        <w:t>投标人或供应商应在采购人所在地设有分公司，若无分公司应针对本项目设有办事处作为项目售后服务点；</w:t>
      </w:r>
    </w:p>
    <w:p>
      <w:pPr>
        <w:numPr>
          <w:ilvl w:val="0"/>
          <w:numId w:val="4"/>
        </w:numPr>
        <w:ind w:left="0" w:firstLine="480"/>
      </w:pPr>
      <w:r>
        <w:t>投标人或供应商须有自建呼叫中心系统，</w:t>
      </w:r>
      <w:r>
        <w:rPr>
          <w:rFonts w:hint="eastAsia"/>
        </w:rPr>
        <w:t>为采购人</w:t>
      </w:r>
      <w:r>
        <w:t>提供7*24小时呼叫中心服务</w:t>
      </w:r>
      <w:r>
        <w:rPr>
          <w:rFonts w:hint="eastAsia"/>
        </w:rPr>
        <w:t>。为保证服务质量呼叫中心应具有一定的人员规模，满足采购需求。</w:t>
      </w:r>
    </w:p>
    <w:p>
      <w:pPr>
        <w:numPr>
          <w:ilvl w:val="0"/>
          <w:numId w:val="4"/>
        </w:numPr>
        <w:ind w:left="0" w:firstLine="480"/>
      </w:pPr>
      <w:r>
        <w:t>当系统发生故障时，</w:t>
      </w:r>
      <w:r>
        <w:rPr>
          <w:rFonts w:hint="eastAsia"/>
        </w:rPr>
        <w:t>供应商应在</w:t>
      </w:r>
      <w:r>
        <w:t>5分钟响应，30分钟内给出解决方案；当设备发生故障时，5分钟响应，1小时现场到场处理；</w:t>
      </w:r>
    </w:p>
    <w:p>
      <w:pPr>
        <w:numPr>
          <w:ilvl w:val="0"/>
          <w:numId w:val="4"/>
        </w:numPr>
        <w:ind w:left="0" w:firstLine="480"/>
      </w:pPr>
      <w:r>
        <w:rPr>
          <w:rFonts w:hint="eastAsia"/>
        </w:rPr>
        <w:t>投标人或供应商应在河南省各个地市均设有售后服务受理点，作为项目售后服务储备；</w:t>
      </w:r>
    </w:p>
    <w:p>
      <w:pPr>
        <w:numPr>
          <w:ilvl w:val="0"/>
          <w:numId w:val="4"/>
        </w:numPr>
        <w:ind w:left="0" w:firstLine="480"/>
      </w:pPr>
      <w:r>
        <w:rPr>
          <w:rFonts w:hint="eastAsia"/>
        </w:rPr>
        <w:t>投标人或供应商应</w:t>
      </w:r>
      <w:r>
        <w:t>具有技术服热线支持、远程技术支持、技术支持上门服务、接待来访用户服务等；</w:t>
      </w:r>
    </w:p>
    <w:p>
      <w:pPr>
        <w:numPr>
          <w:ilvl w:val="0"/>
          <w:numId w:val="4"/>
        </w:numPr>
        <w:ind w:left="0" w:firstLine="480"/>
      </w:pPr>
      <w:r>
        <w:rPr>
          <w:rFonts w:hint="eastAsia"/>
        </w:rPr>
        <w:t>投标人应</w:t>
      </w:r>
      <w:r>
        <w:t>具有定期设备检修服务，保修期内免费更换款式、型号、颜色的相同的配件；</w:t>
      </w:r>
    </w:p>
    <w:p>
      <w:pPr>
        <w:pStyle w:val="4"/>
      </w:pPr>
      <w:r>
        <w:rPr>
          <w:rFonts w:hint="eastAsia"/>
        </w:rPr>
        <w:t>建设周期</w:t>
      </w:r>
    </w:p>
    <w:p>
      <w:pPr>
        <w:ind w:firstLine="480"/>
      </w:pPr>
      <w:r>
        <w:rPr>
          <w:rFonts w:hint="eastAsia"/>
        </w:rPr>
        <w:t>项目建设周期15个工作日。</w:t>
      </w:r>
    </w:p>
    <w:p>
      <w:pPr>
        <w:pStyle w:val="4"/>
      </w:pPr>
      <w:r>
        <w:rPr>
          <w:rFonts w:hint="eastAsia"/>
        </w:rPr>
        <w:t>系统运维</w:t>
      </w:r>
    </w:p>
    <w:p>
      <w:pPr>
        <w:ind w:firstLine="480"/>
      </w:pPr>
      <w:r>
        <w:t>项目</w:t>
      </w:r>
      <w:r>
        <w:rPr>
          <w:rFonts w:hint="eastAsia"/>
        </w:rPr>
        <w:t>自交付之日起提供免费系统运维1年。</w:t>
      </w:r>
    </w:p>
    <w:p>
      <w:pPr>
        <w:ind w:firstLine="0" w:firstLineChars="0"/>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95C50"/>
    <w:multiLevelType w:val="singleLevel"/>
    <w:tmpl w:val="94E95C50"/>
    <w:lvl w:ilvl="0" w:tentative="0">
      <w:start w:val="1"/>
      <w:numFmt w:val="decimal"/>
      <w:lvlText w:val="%1."/>
      <w:lvlJc w:val="left"/>
      <w:pPr>
        <w:ind w:left="425" w:hanging="425"/>
      </w:pPr>
      <w:rPr>
        <w:rFonts w:hint="default"/>
      </w:rPr>
    </w:lvl>
  </w:abstractNum>
  <w:abstractNum w:abstractNumId="1">
    <w:nsid w:val="11E48D0E"/>
    <w:multiLevelType w:val="singleLevel"/>
    <w:tmpl w:val="11E48D0E"/>
    <w:lvl w:ilvl="0" w:tentative="0">
      <w:start w:val="1"/>
      <w:numFmt w:val="decimal"/>
      <w:lvlText w:val="(%1)"/>
      <w:lvlJc w:val="left"/>
      <w:pPr>
        <w:ind w:left="425" w:hanging="425"/>
      </w:pPr>
      <w:rPr>
        <w:rFonts w:hint="default"/>
      </w:rPr>
    </w:lvl>
  </w:abstractNum>
  <w:abstractNum w:abstractNumId="2">
    <w:nsid w:val="24BBD1BB"/>
    <w:multiLevelType w:val="multilevel"/>
    <w:tmpl w:val="24BBD1BB"/>
    <w:lvl w:ilvl="0" w:tentative="0">
      <w:start w:val="1"/>
      <w:numFmt w:val="decimal"/>
      <w:pStyle w:val="3"/>
      <w:lvlText w:val="%1、"/>
      <w:lvlJc w:val="left"/>
      <w:pPr>
        <w:ind w:left="432" w:hanging="432"/>
      </w:pPr>
      <w:rPr>
        <w:rFonts w:hint="default" w:ascii="宋体" w:hAnsi="宋体" w:eastAsia="宋体"/>
      </w:rPr>
    </w:lvl>
    <w:lvl w:ilvl="1" w:tentative="0">
      <w:start w:val="1"/>
      <w:numFmt w:val="decimal"/>
      <w:pStyle w:val="4"/>
      <w:lvlText w:val="%1.%2、"/>
      <w:lvlJc w:val="left"/>
      <w:pPr>
        <w:ind w:left="575" w:hanging="575"/>
      </w:pPr>
      <w:rPr>
        <w:rFonts w:hint="default" w:ascii="宋体" w:hAnsi="宋体" w:eastAsia="宋体"/>
      </w:rPr>
    </w:lvl>
    <w:lvl w:ilvl="2" w:tentative="0">
      <w:start w:val="1"/>
      <w:numFmt w:val="decimal"/>
      <w:pStyle w:val="5"/>
      <w:lvlText w:val="%1.%2.%3、"/>
      <w:lvlJc w:val="left"/>
      <w:pPr>
        <w:ind w:left="720" w:hanging="720"/>
      </w:pPr>
      <w:rPr>
        <w:rFonts w:hint="default" w:ascii="宋体" w:hAnsi="宋体" w:eastAsia="宋体"/>
      </w:rPr>
    </w:lvl>
    <w:lvl w:ilvl="3" w:tentative="0">
      <w:start w:val="1"/>
      <w:numFmt w:val="decimal"/>
      <w:pStyle w:val="6"/>
      <w:lvlText w:val="%1.%2.%3.%4、"/>
      <w:lvlJc w:val="left"/>
      <w:pPr>
        <w:ind w:left="864" w:hanging="864"/>
      </w:pPr>
      <w:rPr>
        <w:rFonts w:hint="default" w:ascii="宋体" w:hAnsi="宋体" w:eastAsia="宋体"/>
      </w:rPr>
    </w:lvl>
    <w:lvl w:ilvl="4" w:tentative="0">
      <w:start w:val="1"/>
      <w:numFmt w:val="decimal"/>
      <w:pStyle w:val="8"/>
      <w:lvlText w:val="%1.%2.%3.%4.%5、"/>
      <w:lvlJc w:val="left"/>
      <w:pPr>
        <w:ind w:left="1008" w:hanging="1008"/>
      </w:pPr>
      <w:rPr>
        <w:rFonts w:hint="default" w:ascii="宋体" w:hAnsi="宋体" w:eastAsia="宋体"/>
      </w:rPr>
    </w:lvl>
    <w:lvl w:ilvl="5" w:tentative="0">
      <w:start w:val="1"/>
      <w:numFmt w:val="decimal"/>
      <w:pStyle w:val="9"/>
      <w:lvlText w:val="%1.%2.%3.%4.%5.%6、"/>
      <w:lvlJc w:val="left"/>
      <w:pPr>
        <w:ind w:left="1151" w:hanging="1151"/>
      </w:pPr>
      <w:rPr>
        <w:rFonts w:hint="default" w:ascii="宋体" w:hAnsi="宋体" w:eastAsia="宋体"/>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3">
    <w:nsid w:val="6C52FAC1"/>
    <w:multiLevelType w:val="singleLevel"/>
    <w:tmpl w:val="6C52FAC1"/>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F3"/>
    <w:rsid w:val="00000D61"/>
    <w:rsid w:val="00007282"/>
    <w:rsid w:val="00015343"/>
    <w:rsid w:val="000875F8"/>
    <w:rsid w:val="000A7E1F"/>
    <w:rsid w:val="000D78BD"/>
    <w:rsid w:val="000E3805"/>
    <w:rsid w:val="001A0266"/>
    <w:rsid w:val="00233C45"/>
    <w:rsid w:val="002819CF"/>
    <w:rsid w:val="003E551D"/>
    <w:rsid w:val="004012BE"/>
    <w:rsid w:val="00431ADD"/>
    <w:rsid w:val="00466A7F"/>
    <w:rsid w:val="004F744D"/>
    <w:rsid w:val="0050746E"/>
    <w:rsid w:val="00574880"/>
    <w:rsid w:val="005F3594"/>
    <w:rsid w:val="006740A8"/>
    <w:rsid w:val="006A3986"/>
    <w:rsid w:val="0073403F"/>
    <w:rsid w:val="00742BB6"/>
    <w:rsid w:val="007674C5"/>
    <w:rsid w:val="00822456"/>
    <w:rsid w:val="008648D5"/>
    <w:rsid w:val="009756E6"/>
    <w:rsid w:val="009C2728"/>
    <w:rsid w:val="00A352AE"/>
    <w:rsid w:val="00A5363D"/>
    <w:rsid w:val="00A92BAA"/>
    <w:rsid w:val="00AD3CA3"/>
    <w:rsid w:val="00AD7F38"/>
    <w:rsid w:val="00BB3FCF"/>
    <w:rsid w:val="00D56659"/>
    <w:rsid w:val="00D85161"/>
    <w:rsid w:val="00DD1DF3"/>
    <w:rsid w:val="00EE4951"/>
    <w:rsid w:val="00F266D3"/>
    <w:rsid w:val="011B78D3"/>
    <w:rsid w:val="0238599E"/>
    <w:rsid w:val="05406634"/>
    <w:rsid w:val="07B3746A"/>
    <w:rsid w:val="0B672652"/>
    <w:rsid w:val="0C862A3B"/>
    <w:rsid w:val="0D736C7C"/>
    <w:rsid w:val="0DAE7993"/>
    <w:rsid w:val="0DF77FE0"/>
    <w:rsid w:val="0E6D03F7"/>
    <w:rsid w:val="11C27199"/>
    <w:rsid w:val="142D013A"/>
    <w:rsid w:val="1652006D"/>
    <w:rsid w:val="167F238F"/>
    <w:rsid w:val="17821621"/>
    <w:rsid w:val="1EDC7FD4"/>
    <w:rsid w:val="1F086EE3"/>
    <w:rsid w:val="203F1123"/>
    <w:rsid w:val="216473AC"/>
    <w:rsid w:val="248C4FC8"/>
    <w:rsid w:val="24A70F4E"/>
    <w:rsid w:val="2603271C"/>
    <w:rsid w:val="26E70A84"/>
    <w:rsid w:val="2A124641"/>
    <w:rsid w:val="2D94707B"/>
    <w:rsid w:val="2E67526B"/>
    <w:rsid w:val="2E7D5CE5"/>
    <w:rsid w:val="2FA660E8"/>
    <w:rsid w:val="308006E8"/>
    <w:rsid w:val="313B22B3"/>
    <w:rsid w:val="316E494A"/>
    <w:rsid w:val="33E608B8"/>
    <w:rsid w:val="33EF3302"/>
    <w:rsid w:val="34534354"/>
    <w:rsid w:val="355C7858"/>
    <w:rsid w:val="36C05D96"/>
    <w:rsid w:val="39AF7410"/>
    <w:rsid w:val="39B95B50"/>
    <w:rsid w:val="3AD7619B"/>
    <w:rsid w:val="3BA74ACB"/>
    <w:rsid w:val="3F90157E"/>
    <w:rsid w:val="40AE567C"/>
    <w:rsid w:val="40E32D49"/>
    <w:rsid w:val="41077194"/>
    <w:rsid w:val="42D35A62"/>
    <w:rsid w:val="444575B3"/>
    <w:rsid w:val="44763DFB"/>
    <w:rsid w:val="44D8166D"/>
    <w:rsid w:val="46685D2C"/>
    <w:rsid w:val="46686008"/>
    <w:rsid w:val="48905171"/>
    <w:rsid w:val="49C86901"/>
    <w:rsid w:val="49E9750F"/>
    <w:rsid w:val="4AB62CBD"/>
    <w:rsid w:val="4CCC2399"/>
    <w:rsid w:val="50FC0A03"/>
    <w:rsid w:val="51AD0D74"/>
    <w:rsid w:val="51C65C03"/>
    <w:rsid w:val="51E25A92"/>
    <w:rsid w:val="53AD4435"/>
    <w:rsid w:val="54F1384F"/>
    <w:rsid w:val="55686759"/>
    <w:rsid w:val="57965D4D"/>
    <w:rsid w:val="57AE127C"/>
    <w:rsid w:val="57B2636C"/>
    <w:rsid w:val="581A4670"/>
    <w:rsid w:val="592B1124"/>
    <w:rsid w:val="5AC8341C"/>
    <w:rsid w:val="5CA5799A"/>
    <w:rsid w:val="5D64347B"/>
    <w:rsid w:val="5FDC5C81"/>
    <w:rsid w:val="600A4203"/>
    <w:rsid w:val="65287AE3"/>
    <w:rsid w:val="657C4761"/>
    <w:rsid w:val="68B271CF"/>
    <w:rsid w:val="6B1D359A"/>
    <w:rsid w:val="6C405958"/>
    <w:rsid w:val="6F413FA5"/>
    <w:rsid w:val="74685472"/>
    <w:rsid w:val="758A551A"/>
    <w:rsid w:val="75DC7F56"/>
    <w:rsid w:val="76D0772B"/>
    <w:rsid w:val="78511C09"/>
    <w:rsid w:val="79C02783"/>
    <w:rsid w:val="7AF00F44"/>
    <w:rsid w:val="7B4F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4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ind w:firstLine="0" w:firstLineChars="0"/>
      <w:outlineLvl w:val="0"/>
    </w:pPr>
    <w:rPr>
      <w:rFonts w:eastAsia="黑体"/>
      <w:b/>
      <w:kern w:val="44"/>
      <w:sz w:val="32"/>
      <w:szCs w:val="32"/>
    </w:rPr>
  </w:style>
  <w:style w:type="paragraph" w:styleId="4">
    <w:name w:val="heading 2"/>
    <w:basedOn w:val="1"/>
    <w:next w:val="1"/>
    <w:unhideWhenUsed/>
    <w:qFormat/>
    <w:uiPriority w:val="0"/>
    <w:pPr>
      <w:keepNext/>
      <w:keepLines/>
      <w:numPr>
        <w:ilvl w:val="1"/>
        <w:numId w:val="1"/>
      </w:numPr>
      <w:spacing w:before="120" w:after="120"/>
      <w:ind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120" w:after="120"/>
      <w:ind w:firstLine="0" w:firstLineChars="0"/>
      <w:outlineLvl w:val="2"/>
    </w:pPr>
    <w:rPr>
      <w:rFonts w:eastAsia="黑体"/>
      <w:b/>
      <w:sz w:val="32"/>
    </w:rPr>
  </w:style>
  <w:style w:type="paragraph" w:styleId="6">
    <w:name w:val="heading 4"/>
    <w:basedOn w:val="7"/>
    <w:next w:val="7"/>
    <w:semiHidden/>
    <w:unhideWhenUsed/>
    <w:qFormat/>
    <w:uiPriority w:val="0"/>
    <w:pPr>
      <w:keepNext/>
      <w:keepLines/>
      <w:numPr>
        <w:ilvl w:val="3"/>
        <w:numId w:val="1"/>
      </w:numPr>
      <w:spacing w:before="120" w:after="120" w:line="240" w:lineRule="auto"/>
      <w:ind w:left="0" w:firstLine="0" w:firstLineChars="0"/>
      <w:outlineLvl w:val="3"/>
    </w:pPr>
    <w:rPr>
      <w:rFonts w:eastAsia="黑体"/>
    </w:rPr>
  </w:style>
  <w:style w:type="paragraph" w:styleId="8">
    <w:name w:val="heading 5"/>
    <w:basedOn w:val="1"/>
    <w:next w:val="1"/>
    <w:semiHidden/>
    <w:unhideWhenUsed/>
    <w:qFormat/>
    <w:uiPriority w:val="0"/>
    <w:pPr>
      <w:keepNext/>
      <w:keepLines/>
      <w:numPr>
        <w:ilvl w:val="4"/>
        <w:numId w:val="1"/>
      </w:numPr>
      <w:spacing w:before="120" w:after="120"/>
      <w:ind w:firstLine="0" w:firstLineChars="0"/>
      <w:outlineLvl w:val="4"/>
    </w:pPr>
    <w:rPr>
      <w:rFonts w:eastAsia="黑体"/>
      <w:b/>
      <w:sz w:val="32"/>
    </w:rPr>
  </w:style>
  <w:style w:type="paragraph" w:styleId="9">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17">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itle"/>
    <w:basedOn w:val="1"/>
    <w:qFormat/>
    <w:uiPriority w:val="0"/>
    <w:pPr>
      <w:spacing w:before="240" w:after="60"/>
      <w:jc w:val="center"/>
      <w:outlineLvl w:val="0"/>
    </w:pPr>
    <w:rPr>
      <w:rFonts w:ascii="Arial" w:hAnsi="Arial"/>
      <w:b/>
      <w:sz w:val="32"/>
    </w:rPr>
  </w:style>
  <w:style w:type="paragraph" w:styleId="13">
    <w:name w:val="Body Text Indent"/>
    <w:basedOn w:val="1"/>
    <w:qFormat/>
    <w:uiPriority w:val="0"/>
    <w:pPr>
      <w:spacing w:after="120"/>
      <w:ind w:left="42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Body Text First Indent 2"/>
    <w:basedOn w:val="13"/>
    <w:qFormat/>
    <w:uiPriority w:val="0"/>
    <w:pPr>
      <w:ind w:firstLine="420"/>
    </w:p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正文文本首行缩进1"/>
    <w:basedOn w:val="2"/>
    <w:qFormat/>
    <w:uiPriority w:val="0"/>
    <w:pPr>
      <w:spacing w:after="0" w:line="480" w:lineRule="exact"/>
      <w:ind w:firstLine="420" w:firstLineChars="100"/>
    </w:pPr>
    <w:rPr>
      <w:rFonts w:ascii="宋体" w:hAnsi="宋体"/>
    </w:rPr>
  </w:style>
  <w:style w:type="paragraph" w:customStyle="1" w:styleId="21">
    <w:name w:val="工商正文"/>
    <w:basedOn w:val="1"/>
    <w:next w:val="1"/>
    <w:qFormat/>
    <w:uiPriority w:val="0"/>
    <w:pPr>
      <w:spacing w:line="560" w:lineRule="exact"/>
      <w:ind w:firstLine="600"/>
      <w:jc w:val="left"/>
    </w:pPr>
    <w:rPr>
      <w:rFonts w:eastAsia="仿宋"/>
      <w:kern w:val="0"/>
      <w:szCs w:val="20"/>
    </w:rPr>
  </w:style>
  <w:style w:type="paragraph" w:styleId="2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764</Words>
  <Characters>4356</Characters>
  <Lines>36</Lines>
  <Paragraphs>10</Paragraphs>
  <TotalTime>7</TotalTime>
  <ScaleCrop>false</ScaleCrop>
  <LinksUpToDate>false</LinksUpToDate>
  <CharactersWithSpaces>5110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一期一会</cp:lastModifiedBy>
  <cp:lastPrinted>2020-07-13T07:30:00Z</cp:lastPrinted>
  <dcterms:modified xsi:type="dcterms:W3CDTF">2020-11-18T04:49:46Z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