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2020年空调维保服务项目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2020年空调维保服务项目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2020年空调维保服务项目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numPr>
          <w:ilvl w:val="0"/>
          <w:numId w:val="0"/>
        </w:numPr>
        <w:ind w:firstLine="640" w:firstLineChars="200"/>
        <w:rPr>
          <w:rFonts w:hint="eastAsia" w:ascii="仿宋_GB2312" w:hAnsi="Calibri" w:eastAsia="仿宋_GB2312" w:cs="Times New Roman"/>
          <w:kern w:val="2"/>
          <w:sz w:val="32"/>
          <w:szCs w:val="32"/>
          <w:lang w:val="en-US" w:eastAsia="zh-CN" w:bidi="ar-SA"/>
        </w:rPr>
      </w:pPr>
      <w:r>
        <w:rPr>
          <w:rFonts w:hint="eastAsia" w:ascii="黑体" w:eastAsia="黑体"/>
          <w:sz w:val="32"/>
          <w:szCs w:val="32"/>
          <w:lang w:eastAsia="zh-CN"/>
        </w:rPr>
        <w:t>维修范围：</w:t>
      </w:r>
      <w:r>
        <w:rPr>
          <w:rFonts w:hint="eastAsia" w:ascii="仿宋_GB2312" w:hAnsi="Calibri" w:eastAsia="仿宋_GB2312" w:cs="Times New Roman"/>
          <w:kern w:val="2"/>
          <w:sz w:val="32"/>
          <w:szCs w:val="32"/>
          <w:lang w:val="en-US" w:eastAsia="zh-CN" w:bidi="ar-SA"/>
        </w:rPr>
        <w:t>维保范围包含净化中央空调、精密空调多联机组、新风系统</w:t>
      </w:r>
    </w:p>
    <w:tbl>
      <w:tblPr>
        <w:tblStyle w:val="11"/>
        <w:tblpPr w:leftFromText="180" w:rightFromText="180" w:vertAnchor="text" w:horzAnchor="page" w:tblpX="2373" w:tblpY="305"/>
        <w:tblOverlap w:val="never"/>
        <w:tblW w:w="7901" w:type="dxa"/>
        <w:tblInd w:w="0" w:type="dxa"/>
        <w:tblLayout w:type="fixed"/>
        <w:tblCellMar>
          <w:top w:w="0" w:type="dxa"/>
          <w:left w:w="108" w:type="dxa"/>
          <w:bottom w:w="0" w:type="dxa"/>
          <w:right w:w="108" w:type="dxa"/>
        </w:tblCellMar>
      </w:tblPr>
      <w:tblGrid>
        <w:gridCol w:w="1554"/>
        <w:gridCol w:w="3289"/>
        <w:gridCol w:w="1294"/>
        <w:gridCol w:w="1764"/>
      </w:tblGrid>
      <w:tr>
        <w:tblPrEx>
          <w:tblLayout w:type="fixed"/>
          <w:tblCellMar>
            <w:top w:w="0" w:type="dxa"/>
            <w:left w:w="108" w:type="dxa"/>
            <w:bottom w:w="0" w:type="dxa"/>
            <w:right w:w="108" w:type="dxa"/>
          </w:tblCellMar>
        </w:tblPrEx>
        <w:trPr>
          <w:trHeight w:val="328" w:hRule="atLeast"/>
        </w:trPr>
        <w:tc>
          <w:tcPr>
            <w:tcW w:w="1554" w:type="dxa"/>
            <w:tcBorders>
              <w:top w:val="single" w:color="auto" w:sz="4" w:space="0"/>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eastAsia="zh-CN"/>
              </w:rPr>
              <w:t>序号</w:t>
            </w:r>
          </w:p>
        </w:tc>
        <w:tc>
          <w:tcPr>
            <w:tcW w:w="3289"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设备名称</w:t>
            </w:r>
          </w:p>
        </w:tc>
        <w:tc>
          <w:tcPr>
            <w:tcW w:w="1294"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数量</w:t>
            </w:r>
          </w:p>
        </w:tc>
        <w:tc>
          <w:tcPr>
            <w:tcW w:w="1764" w:type="dxa"/>
            <w:tcBorders>
              <w:top w:val="single" w:color="auto" w:sz="4" w:space="0"/>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备注</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1</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风冷模块机</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18</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val="en-US" w:eastAsia="zh-CN"/>
              </w:rPr>
            </w:pPr>
            <w:r>
              <w:rPr>
                <w:rFonts w:hint="eastAsia" w:ascii="Arial" w:hAnsi="Arial" w:cs="Arial"/>
                <w:color w:val="000000"/>
                <w:kern w:val="0"/>
                <w:sz w:val="22"/>
                <w:lang w:val="en-US" w:eastAsia="zh-CN"/>
              </w:rPr>
              <w:t>2</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净化空调</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33</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3</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多联机</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13</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4</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精密空调</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6</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5</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新风机组</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12</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6</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冷冻水系统维护维修</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1</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widowControl/>
              <w:jc w:val="center"/>
              <w:rPr>
                <w:rFonts w:hint="eastAsia" w:ascii="Arial" w:hAnsi="Arial" w:eastAsia="仿宋" w:cs="Arial"/>
                <w:color w:val="000000"/>
                <w:kern w:val="0"/>
                <w:sz w:val="22"/>
                <w:lang w:eastAsia="zh-CN"/>
              </w:rPr>
            </w:pPr>
            <w:r>
              <w:rPr>
                <w:rFonts w:hint="eastAsia" w:ascii="Arial" w:hAnsi="Arial" w:cs="Arial"/>
                <w:color w:val="000000"/>
                <w:kern w:val="0"/>
                <w:sz w:val="22"/>
                <w:lang w:val="en-US" w:eastAsia="zh-CN"/>
              </w:rPr>
              <w:t>7</w:t>
            </w:r>
          </w:p>
        </w:tc>
        <w:tc>
          <w:tcPr>
            <w:tcW w:w="3289"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风系统维护维修</w:t>
            </w:r>
          </w:p>
        </w:tc>
        <w:tc>
          <w:tcPr>
            <w:tcW w:w="1294" w:type="dxa"/>
            <w:tcBorders>
              <w:top w:val="nil"/>
              <w:left w:val="nil"/>
              <w:bottom w:val="single" w:color="auto" w:sz="4" w:space="0"/>
              <w:right w:val="single" w:color="auto" w:sz="4" w:space="0"/>
            </w:tcBorders>
            <w:noWrap/>
            <w:vAlign w:val="bottom"/>
          </w:tcPr>
          <w:p>
            <w:pPr>
              <w:widowControl/>
              <w:jc w:val="center"/>
              <w:rPr>
                <w:rFonts w:ascii="Arial" w:hAnsi="Arial" w:cs="Arial"/>
                <w:color w:val="000000"/>
                <w:kern w:val="0"/>
                <w:sz w:val="22"/>
              </w:rPr>
            </w:pPr>
            <w:r>
              <w:rPr>
                <w:rFonts w:ascii="Arial" w:hAnsi="Arial" w:cs="Arial"/>
                <w:color w:val="000000"/>
                <w:kern w:val="0"/>
                <w:sz w:val="22"/>
              </w:rPr>
              <w:t>1</w:t>
            </w:r>
          </w:p>
        </w:tc>
        <w:tc>
          <w:tcPr>
            <w:tcW w:w="1764" w:type="dxa"/>
            <w:tcBorders>
              <w:top w:val="nil"/>
              <w:left w:val="nil"/>
              <w:bottom w:val="single" w:color="auto" w:sz="4" w:space="0"/>
              <w:right w:val="single" w:color="auto" w:sz="4" w:space="0"/>
            </w:tcBorders>
            <w:noWrap/>
            <w:vAlign w:val="bottom"/>
          </w:tcPr>
          <w:p>
            <w:pPr>
              <w:widowControl/>
              <w:jc w:val="left"/>
              <w:rPr>
                <w:rFonts w:ascii="Arial" w:hAnsi="Arial" w:cs="Arial"/>
                <w:color w:val="000000"/>
                <w:kern w:val="0"/>
                <w:sz w:val="22"/>
              </w:rPr>
            </w:pPr>
            <w:r>
              <w:rPr>
                <w:rFonts w:ascii="Arial" w:hAnsi="Arial" w:cs="Arial"/>
                <w:color w:val="000000"/>
                <w:kern w:val="0"/>
                <w:sz w:val="22"/>
              </w:rPr>
              <w:t>　</w:t>
            </w:r>
          </w:p>
        </w:tc>
      </w:tr>
    </w:tbl>
    <w:p>
      <w:pPr>
        <w:pStyle w:val="2"/>
        <w:numPr>
          <w:ilvl w:val="0"/>
          <w:numId w:val="0"/>
        </w:numPr>
        <w:ind w:firstLine="640" w:firstLineChars="200"/>
        <w:rPr>
          <w:rFonts w:hint="eastAsia" w:ascii="黑体" w:eastAsia="黑体"/>
          <w:sz w:val="32"/>
          <w:szCs w:val="32"/>
          <w:lang w:val="en-US" w:eastAsia="zh-CN"/>
        </w:rPr>
      </w:pPr>
    </w:p>
    <w:p>
      <w:pPr>
        <w:pStyle w:val="2"/>
        <w:numPr>
          <w:ilvl w:val="0"/>
          <w:numId w:val="0"/>
        </w:numPr>
        <w:rPr>
          <w:rFonts w:hint="default"/>
          <w:color w:val="FF0000"/>
          <w:lang w:val="en-US" w:eastAsia="zh-CN"/>
        </w:rPr>
      </w:pPr>
      <w:r>
        <w:rPr>
          <w:rFonts w:hint="eastAsia" w:ascii="黑体" w:eastAsia="黑体"/>
          <w:sz w:val="32"/>
          <w:szCs w:val="32"/>
          <w:lang w:val="en-US" w:eastAsia="zh-CN"/>
        </w:rPr>
        <w:t xml:space="preserve"> 维修要求：</w:t>
      </w:r>
      <w:r>
        <w:rPr>
          <w:rFonts w:hint="eastAsia" w:ascii="仿宋_GB2312" w:eastAsia="仿宋_GB2312"/>
          <w:sz w:val="32"/>
          <w:szCs w:val="32"/>
          <w:lang w:val="en-US" w:eastAsia="zh-CN"/>
        </w:rPr>
        <w:t>提供空调的换季维护保养、应急服务维修、配件维修更换、技术支持。保证医院设备常年的正常工作。</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供应商</w:t>
      </w:r>
      <w:r>
        <w:rPr>
          <w:rFonts w:hint="eastAsia" w:ascii="黑体" w:eastAsia="黑体"/>
          <w:sz w:val="32"/>
          <w:szCs w:val="32"/>
        </w:rPr>
        <w:t>资格要求</w:t>
      </w:r>
    </w:p>
    <w:p>
      <w:pPr>
        <w:numPr>
          <w:ilvl w:val="0"/>
          <w:numId w:val="5"/>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spacing w:line="360" w:lineRule="auto"/>
        <w:ind w:firstLine="640" w:firstLineChars="200"/>
        <w:rPr>
          <w:rFonts w:hint="eastAsia" w:ascii="仿宋_GB2312" w:hAnsi="仿宋_GB2312" w:eastAsia="仿宋_GB2312" w:cs="仿宋_GB2312"/>
          <w:color w:val="auto"/>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w:t>
      </w:r>
      <w:r>
        <w:rPr>
          <w:rFonts w:hint="eastAsia" w:ascii="仿宋_GB2312" w:eastAsia="仿宋_GB2312"/>
          <w:sz w:val="32"/>
          <w:szCs w:val="32"/>
          <w:lang w:val="en-US" w:eastAsia="zh-CN"/>
        </w:rPr>
        <w:t>须具备制冷空调设备维修安装 A 类I级、D类I级或以上相关专业资质；具有建筑机电安装工程专业承包三级以上资质；具有ISO9001质量管理体系认证证书。</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3、供应商须具有专业工程师团队（工程师须提供专业制冷与空调作业操作和低压电工证件），具有管道工、通风工等相应的中央空调维修资质，相应技术人员提供本公司社保统筹材料。</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leftChars="200" w:firstLine="320" w:firstLineChars="1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供应商经营行为必须符合国家法律、法规和有关规定。</w:t>
      </w:r>
    </w:p>
    <w:p>
      <w:pPr>
        <w:pStyle w:val="2"/>
        <w:numPr>
          <w:ilvl w:val="0"/>
          <w:numId w:val="0"/>
        </w:numPr>
        <w:ind w:leftChars="200" w:firstLine="640" w:firstLineChars="200"/>
        <w:rPr>
          <w:rFonts w:hint="eastAsia"/>
        </w:rPr>
      </w:pPr>
      <w:r>
        <w:rPr>
          <w:rFonts w:hint="eastAsia" w:ascii="仿宋_GB2312" w:eastAsia="仿宋_GB2312" w:cs="Times New Roman"/>
          <w:kern w:val="2"/>
          <w:sz w:val="32"/>
          <w:szCs w:val="32"/>
          <w:lang w:val="en-US" w:eastAsia="zh-CN" w:bidi="ar-SA"/>
        </w:rPr>
        <w:t>6、</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pStyle w:val="2"/>
        <w:numPr>
          <w:ilvl w:val="0"/>
          <w:numId w:val="0"/>
        </w:numPr>
        <w:ind w:leftChars="200" w:firstLine="640" w:firstLineChars="200"/>
        <w:rPr>
          <w:rFonts w:hint="eastAsia"/>
        </w:rPr>
      </w:pPr>
      <w:r>
        <w:rPr>
          <w:rFonts w:hint="eastAsia" w:ascii="仿宋_GB2312" w:hAnsi="仿宋_GB2312" w:eastAsia="仿宋_GB2312" w:cs="仿宋_GB2312"/>
          <w:color w:val="FF0000"/>
          <w:sz w:val="32"/>
          <w:szCs w:val="32"/>
          <w:lang w:val="en-US" w:eastAsia="zh-CN"/>
        </w:rPr>
        <w:t>7、 投标人应拥有备品备件库，应急备件及耗材有库存；必要时现场考察备件库的属实性。</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3</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9</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w:t>
      </w:r>
      <w:r>
        <w:rPr>
          <w:rFonts w:hint="eastAsia" w:ascii="仿宋_GB2312" w:eastAsia="仿宋_GB2312"/>
          <w:color w:val="FF0000"/>
          <w:sz w:val="32"/>
          <w:szCs w:val="32"/>
          <w:lang w:val="en-US" w:eastAsia="zh-CN"/>
        </w:rPr>
        <w:t>2、3、项佐证材料。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eastAsia" w:ascii="仿宋_GB2312" w:eastAsia="仿宋_GB2312"/>
          <w:b/>
          <w:sz w:val="32"/>
          <w:szCs w:val="32"/>
          <w:lang w:val="en-US"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50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50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50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项目维保方案</w:t>
            </w:r>
            <w:r>
              <w:rPr>
                <w:rFonts w:hint="eastAsia"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lang w:val="en-US" w:eastAsia="zh-CN"/>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根据项目维保方案得完整性、可实施性在</w:t>
            </w:r>
            <w:r>
              <w:rPr>
                <w:rFonts w:hint="eastAsia" w:ascii="宋体" w:hAnsi="宋体" w:cs="宋体"/>
                <w:color w:val="000000" w:themeColor="text1"/>
                <w:szCs w:val="21"/>
                <w:lang w:val="en-US" w:eastAsia="zh-CN"/>
                <w14:textFill>
                  <w14:solidFill>
                    <w14:schemeClr w14:val="tx1"/>
                  </w14:solidFill>
                </w14:textFill>
              </w:rPr>
              <w:t>0-20分范围内进行打分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bookmarkStart w:id="15" w:name="_GoBack"/>
      <w:bookmarkEnd w:id="15"/>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新郑市公立人民医院2020年空调维保服务项目</w:t>
      </w:r>
      <w:r>
        <w:rPr>
          <w:rFonts w:hint="eastAsia"/>
        </w:rPr>
        <w:t>项目特订立本合同，以便共同遵守。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新郑市公立人民医院2020年空调维保服务项目</w:t>
      </w:r>
    </w:p>
    <w:p>
      <w:pPr>
        <w:ind w:firstLine="420" w:firstLineChars="200"/>
        <w:rPr>
          <w:rFonts w:hint="eastAsia" w:eastAsiaTheme="minorEastAsia"/>
          <w:lang w:eastAsia="zh-CN"/>
        </w:rPr>
      </w:pPr>
      <w:r>
        <w:rPr>
          <w:rFonts w:hint="eastAsia"/>
        </w:rPr>
        <w:t>二、</w:t>
      </w:r>
      <w:r>
        <w:rPr>
          <w:rFonts w:hint="eastAsia"/>
          <w:lang w:eastAsia="zh-CN"/>
        </w:rPr>
        <w:t>项目内容</w:t>
      </w:r>
    </w:p>
    <w:p>
      <w:pPr>
        <w:ind w:firstLine="420" w:firstLineChars="200"/>
        <w:rPr>
          <w:rFonts w:hint="eastAsia"/>
          <w:lang w:val="en-US" w:eastAsia="zh-CN"/>
        </w:rPr>
      </w:pPr>
      <w:r>
        <w:rPr>
          <w:rFonts w:hint="eastAsia"/>
          <w:lang w:eastAsia="zh-CN"/>
        </w:rPr>
        <w:t>维修范围：</w:t>
      </w:r>
      <w:r>
        <w:rPr>
          <w:rFonts w:hint="eastAsia"/>
          <w:lang w:val="en-US" w:eastAsia="zh-CN"/>
        </w:rPr>
        <w:t>维保范围包含净化中央空调、精密空调多联机组、新风系统</w:t>
      </w:r>
    </w:p>
    <w:tbl>
      <w:tblPr>
        <w:tblStyle w:val="11"/>
        <w:tblpPr w:leftFromText="180" w:rightFromText="180" w:vertAnchor="text" w:horzAnchor="page" w:tblpX="2373" w:tblpY="305"/>
        <w:tblOverlap w:val="never"/>
        <w:tblW w:w="7901" w:type="dxa"/>
        <w:tblInd w:w="0" w:type="dxa"/>
        <w:tblLayout w:type="fixed"/>
        <w:tblCellMar>
          <w:top w:w="0" w:type="dxa"/>
          <w:left w:w="108" w:type="dxa"/>
          <w:bottom w:w="0" w:type="dxa"/>
          <w:right w:w="108" w:type="dxa"/>
        </w:tblCellMar>
      </w:tblPr>
      <w:tblGrid>
        <w:gridCol w:w="1554"/>
        <w:gridCol w:w="3289"/>
        <w:gridCol w:w="1294"/>
        <w:gridCol w:w="1764"/>
      </w:tblGrid>
      <w:tr>
        <w:tblPrEx>
          <w:tblLayout w:type="fixed"/>
          <w:tblCellMar>
            <w:top w:w="0" w:type="dxa"/>
            <w:left w:w="108" w:type="dxa"/>
            <w:bottom w:w="0" w:type="dxa"/>
            <w:right w:w="108" w:type="dxa"/>
          </w:tblCellMar>
        </w:tblPrEx>
        <w:trPr>
          <w:trHeight w:val="328" w:hRule="atLeast"/>
        </w:trPr>
        <w:tc>
          <w:tcPr>
            <w:tcW w:w="1554" w:type="dxa"/>
            <w:tcBorders>
              <w:top w:val="single" w:color="auto" w:sz="4" w:space="0"/>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eastAsia="zh-CN"/>
              </w:rPr>
              <w:t>序号</w:t>
            </w:r>
          </w:p>
        </w:tc>
        <w:tc>
          <w:tcPr>
            <w:tcW w:w="3289"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设备名称</w:t>
            </w:r>
          </w:p>
        </w:tc>
        <w:tc>
          <w:tcPr>
            <w:tcW w:w="1294"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数量</w:t>
            </w:r>
          </w:p>
        </w:tc>
        <w:tc>
          <w:tcPr>
            <w:tcW w:w="1764" w:type="dxa"/>
            <w:tcBorders>
              <w:top w:val="single" w:color="auto" w:sz="4" w:space="0"/>
              <w:left w:val="nil"/>
              <w:bottom w:val="single" w:color="auto" w:sz="4" w:space="0"/>
              <w:right w:val="single" w:color="auto" w:sz="4" w:space="0"/>
            </w:tcBorders>
            <w:noWrap/>
            <w:vAlign w:val="bottom"/>
          </w:tcPr>
          <w:p>
            <w:pPr>
              <w:ind w:firstLine="420" w:firstLineChars="200"/>
              <w:rPr>
                <w:rFonts w:hint="eastAsia"/>
              </w:rPr>
            </w:pPr>
            <w:r>
              <w:rPr>
                <w:rFonts w:hint="eastAsia"/>
              </w:rPr>
              <w:t>备注</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1</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风冷模块机</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18</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val="en-US" w:eastAsia="zh-CN"/>
              </w:rPr>
            </w:pPr>
            <w:r>
              <w:rPr>
                <w:rFonts w:hint="eastAsia"/>
                <w:lang w:val="en-US" w:eastAsia="zh-CN"/>
              </w:rPr>
              <w:t>2</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净化空调</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33</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3</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多联机</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13</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4</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精密空调</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6</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5</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新风机组</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12</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6</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冷冻水系统维护维修</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r>
        <w:tblPrEx>
          <w:tblLayout w:type="fixed"/>
          <w:tblCellMar>
            <w:top w:w="0" w:type="dxa"/>
            <w:left w:w="108" w:type="dxa"/>
            <w:bottom w:w="0" w:type="dxa"/>
            <w:right w:w="108" w:type="dxa"/>
          </w:tblCellMar>
        </w:tblPrEx>
        <w:trPr>
          <w:trHeight w:val="328" w:hRule="atLeast"/>
        </w:trPr>
        <w:tc>
          <w:tcPr>
            <w:tcW w:w="1554" w:type="dxa"/>
            <w:tcBorders>
              <w:top w:val="nil"/>
              <w:left w:val="single" w:color="auto" w:sz="4" w:space="0"/>
              <w:bottom w:val="single" w:color="auto" w:sz="4" w:space="0"/>
              <w:right w:val="single" w:color="auto" w:sz="4" w:space="0"/>
            </w:tcBorders>
            <w:noWrap/>
            <w:vAlign w:val="bottom"/>
          </w:tcPr>
          <w:p>
            <w:pPr>
              <w:ind w:firstLine="420" w:firstLineChars="200"/>
              <w:rPr>
                <w:rFonts w:hint="eastAsia"/>
                <w:lang w:eastAsia="zh-CN"/>
              </w:rPr>
            </w:pPr>
            <w:r>
              <w:rPr>
                <w:rFonts w:hint="eastAsia"/>
                <w:lang w:val="en-US" w:eastAsia="zh-CN"/>
              </w:rPr>
              <w:t>7</w:t>
            </w:r>
          </w:p>
        </w:tc>
        <w:tc>
          <w:tcPr>
            <w:tcW w:w="3289"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风系统统维护维修</w:t>
            </w:r>
          </w:p>
        </w:tc>
        <w:tc>
          <w:tcPr>
            <w:tcW w:w="129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1</w:t>
            </w:r>
          </w:p>
        </w:tc>
        <w:tc>
          <w:tcPr>
            <w:tcW w:w="1764" w:type="dxa"/>
            <w:tcBorders>
              <w:top w:val="nil"/>
              <w:left w:val="nil"/>
              <w:bottom w:val="single" w:color="auto" w:sz="4" w:space="0"/>
              <w:right w:val="single" w:color="auto" w:sz="4" w:space="0"/>
            </w:tcBorders>
            <w:noWrap/>
            <w:vAlign w:val="bottom"/>
          </w:tcPr>
          <w:p>
            <w:pPr>
              <w:ind w:firstLine="420" w:firstLineChars="200"/>
              <w:rPr>
                <w:rFonts w:hint="eastAsia"/>
              </w:rPr>
            </w:pPr>
            <w:r>
              <w:rPr>
                <w:rFonts w:hint="eastAsia"/>
              </w:rPr>
              <w:t>　</w:t>
            </w:r>
          </w:p>
        </w:tc>
      </w:tr>
    </w:tbl>
    <w:p>
      <w:pPr>
        <w:ind w:firstLine="420" w:firstLineChars="200"/>
        <w:rPr>
          <w:rFonts w:hint="eastAsia"/>
          <w:lang w:val="en-US" w:eastAsia="zh-CN"/>
        </w:rPr>
      </w:pPr>
    </w:p>
    <w:p>
      <w:pPr>
        <w:ind w:firstLine="420" w:firstLineChars="200"/>
        <w:rPr>
          <w:rFonts w:hint="eastAsia"/>
          <w:lang w:eastAsia="zh-CN"/>
        </w:rPr>
      </w:pPr>
      <w:r>
        <w:rPr>
          <w:rFonts w:hint="eastAsia"/>
          <w:lang w:val="en-US" w:eastAsia="zh-CN"/>
        </w:rPr>
        <w:t xml:space="preserve"> 维修要求：提供空调的换季维护保养、应急服务维修、配件维修更换、技术支持。保证医院设备常年的正常工作。要求派遣人员常驻我院24小时进行维保工作。</w:t>
      </w:r>
      <w:r>
        <w:rPr>
          <w:rFonts w:hint="eastAsia"/>
        </w:rPr>
        <w:t>　</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、及其他资质证明材料、维修资质、及人员资质、及备件库信息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项目维保</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包含维保方案等相关信息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337475854"/>
      <w:bookmarkStart w:id="2" w:name="_Toc258354146"/>
      <w:bookmarkStart w:id="3" w:name="_Toc17030"/>
      <w:bookmarkStart w:id="4" w:name="_Toc337554724"/>
      <w:bookmarkStart w:id="5" w:name="_Toc248896063"/>
      <w:bookmarkStart w:id="6" w:name="_Toc258360158"/>
      <w:bookmarkStart w:id="7" w:name="_Toc219626747"/>
      <w:bookmarkStart w:id="8" w:name="_Toc9548"/>
      <w:bookmarkStart w:id="9" w:name="_Toc261708863"/>
      <w:bookmarkStart w:id="10" w:name="_Toc258333636"/>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CC77ED2E"/>
    <w:multiLevelType w:val="singleLevel"/>
    <w:tmpl w:val="CC77ED2E"/>
    <w:lvl w:ilvl="0" w:tentative="0">
      <w:start w:val="1"/>
      <w:numFmt w:val="decimal"/>
      <w:suff w:val="nothing"/>
      <w:lvlText w:val="%1、"/>
      <w:lvlJc w:val="left"/>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1"/>
  </w:num>
  <w:num w:numId="5">
    <w:abstractNumId w:val="2"/>
  </w:num>
  <w:num w:numId="6">
    <w:abstractNumId w:val="7"/>
  </w:num>
  <w:num w:numId="7">
    <w:abstractNumId w:val="0"/>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9016D0"/>
    <w:rsid w:val="0E93621F"/>
    <w:rsid w:val="101A65D1"/>
    <w:rsid w:val="111B0067"/>
    <w:rsid w:val="114C35D9"/>
    <w:rsid w:val="11C31BE9"/>
    <w:rsid w:val="12A11F66"/>
    <w:rsid w:val="14682D8B"/>
    <w:rsid w:val="14C320D4"/>
    <w:rsid w:val="16A35C46"/>
    <w:rsid w:val="17D81E85"/>
    <w:rsid w:val="188744A6"/>
    <w:rsid w:val="1965314B"/>
    <w:rsid w:val="1C900C49"/>
    <w:rsid w:val="1D995826"/>
    <w:rsid w:val="1E4C6245"/>
    <w:rsid w:val="245F44FD"/>
    <w:rsid w:val="246624B2"/>
    <w:rsid w:val="24DF7354"/>
    <w:rsid w:val="24FE3AD7"/>
    <w:rsid w:val="25E13CF1"/>
    <w:rsid w:val="2643733F"/>
    <w:rsid w:val="264A511E"/>
    <w:rsid w:val="26C158E2"/>
    <w:rsid w:val="278100C0"/>
    <w:rsid w:val="288B4898"/>
    <w:rsid w:val="2A7E0BB7"/>
    <w:rsid w:val="2B0A7B44"/>
    <w:rsid w:val="2E7F19E0"/>
    <w:rsid w:val="2F570DF0"/>
    <w:rsid w:val="2F632DBF"/>
    <w:rsid w:val="30217C48"/>
    <w:rsid w:val="31827FC3"/>
    <w:rsid w:val="31CB0A48"/>
    <w:rsid w:val="33F956F6"/>
    <w:rsid w:val="384A7AD5"/>
    <w:rsid w:val="3B2A4846"/>
    <w:rsid w:val="3B5373B6"/>
    <w:rsid w:val="3EDC78BB"/>
    <w:rsid w:val="438F0656"/>
    <w:rsid w:val="44B67130"/>
    <w:rsid w:val="4656733B"/>
    <w:rsid w:val="486D7AF7"/>
    <w:rsid w:val="494804BB"/>
    <w:rsid w:val="4B4638AD"/>
    <w:rsid w:val="4B9C1C97"/>
    <w:rsid w:val="4BC500AA"/>
    <w:rsid w:val="4FCE5CD6"/>
    <w:rsid w:val="53501B3C"/>
    <w:rsid w:val="550B217C"/>
    <w:rsid w:val="563E288F"/>
    <w:rsid w:val="57162389"/>
    <w:rsid w:val="57575861"/>
    <w:rsid w:val="5AD50E25"/>
    <w:rsid w:val="5D4D3632"/>
    <w:rsid w:val="5F053FBA"/>
    <w:rsid w:val="615523A0"/>
    <w:rsid w:val="62F657D0"/>
    <w:rsid w:val="649D2897"/>
    <w:rsid w:val="649D3A7F"/>
    <w:rsid w:val="64E26821"/>
    <w:rsid w:val="65207F71"/>
    <w:rsid w:val="66016CC0"/>
    <w:rsid w:val="695C7637"/>
    <w:rsid w:val="69B54528"/>
    <w:rsid w:val="6A67750E"/>
    <w:rsid w:val="6B83299F"/>
    <w:rsid w:val="6CD8518D"/>
    <w:rsid w:val="6ECA7999"/>
    <w:rsid w:val="6F8E4227"/>
    <w:rsid w:val="726E1332"/>
    <w:rsid w:val="738608DB"/>
    <w:rsid w:val="745F5922"/>
    <w:rsid w:val="78481C82"/>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2020-11-03T00:43:46Z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