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检验科生化流水线及PCR实验室污水处理系统项目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检验科生化流水线及PCR实验室污水处理系统项目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检验科生化流水线及PCR实验室污水处理系统项目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1、按照附件要求提供实验室污水处理设备两台，安装并调试到位。</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2、包括但不限于水电改造。</w:t>
      </w:r>
    </w:p>
    <w:p>
      <w:pPr>
        <w:pStyle w:val="2"/>
        <w:rPr>
          <w:rFonts w:hint="eastAsia"/>
          <w:lang w:val="en-US" w:eastAsia="zh-CN"/>
        </w:rPr>
      </w:pPr>
      <w:r>
        <w:rPr>
          <w:rFonts w:hint="eastAsia" w:ascii="仿宋_GB2312" w:eastAsia="仿宋_GB2312" w:cs="Times New Roman"/>
          <w:sz w:val="32"/>
          <w:szCs w:val="32"/>
          <w:lang w:val="en-US" w:eastAsia="zh-CN"/>
        </w:rPr>
        <w:t xml:space="preserve">    详细参数见附件</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bookmarkStart w:id="15" w:name="_GoBack"/>
      <w:bookmarkEnd w:id="15"/>
      <w:r>
        <w:rPr>
          <w:rFonts w:hint="eastAsia" w:ascii="仿宋_GB2312" w:eastAsia="仿宋_GB2312"/>
          <w:sz w:val="32"/>
          <w:szCs w:val="32"/>
          <w:lang w:eastAsia="zh-CN"/>
        </w:rPr>
        <w:t>（</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新郑市公立人民医院检验科生化流水线及PCR实验室污水处理系统项目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新郑市公立人民医院检验科生化流水线及PCR实验室污水处理系统项目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10762"/>
      <w:bookmarkStart w:id="2" w:name="_Toc15313"/>
      <w:bookmarkStart w:id="3" w:name="_Toc258360269"/>
      <w:bookmarkStart w:id="4" w:name="_Toc9548"/>
      <w:bookmarkStart w:id="5" w:name="_Toc258333636"/>
      <w:bookmarkStart w:id="6" w:name="_Toc261708863"/>
      <w:bookmarkStart w:id="7" w:name="_Toc219626747"/>
      <w:bookmarkStart w:id="8" w:name="_Toc248896063"/>
      <w:bookmarkStart w:id="9" w:name="_Toc337554724"/>
      <w:bookmarkStart w:id="10" w:name="_Toc258360158"/>
      <w:bookmarkStart w:id="11" w:name="_Toc17030"/>
      <w:bookmarkStart w:id="12" w:name="_Toc258354146"/>
      <w:bookmarkStart w:id="13" w:name="_Toc337475854"/>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2020-11-17T01:00:57Z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