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财政电子票据建设项目</w:t>
      </w: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13"/>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13"/>
        <w:rPr>
          <w:rFonts w:ascii="黑体" w:hAnsi="黑体" w:eastAsia="黑体" w:cs="黑体"/>
          <w:sz w:val="52"/>
          <w:szCs w:val="52"/>
        </w:rPr>
      </w:pPr>
    </w:p>
    <w:p>
      <w:pPr>
        <w:pStyle w:val="13"/>
        <w:rPr>
          <w:rFonts w:ascii="黑体" w:hAnsi="黑体" w:eastAsia="黑体" w:cs="黑体"/>
          <w:sz w:val="52"/>
          <w:szCs w:val="52"/>
        </w:rPr>
      </w:pPr>
    </w:p>
    <w:p>
      <w:pPr>
        <w:pStyle w:val="13"/>
        <w:rPr>
          <w:rFonts w:ascii="黑体" w:hAnsi="黑体" w:eastAsia="黑体" w:cs="黑体"/>
          <w:sz w:val="52"/>
          <w:szCs w:val="52"/>
        </w:rPr>
      </w:pPr>
    </w:p>
    <w:p>
      <w:pPr>
        <w:pStyle w:val="13"/>
        <w:rPr>
          <w:rFonts w:ascii="黑体" w:hAnsi="黑体" w:eastAsia="黑体" w:cs="黑体"/>
          <w:sz w:val="52"/>
          <w:szCs w:val="52"/>
        </w:rPr>
      </w:pPr>
    </w:p>
    <w:p>
      <w:pPr>
        <w:pStyle w:val="13"/>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2020年11月18日</w:t>
      </w:r>
    </w:p>
    <w:p>
      <w:pPr>
        <w:pStyle w:val="13"/>
        <w:rPr>
          <w:rFonts w:hint="eastAsia"/>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3"/>
      </w:pPr>
    </w:p>
    <w:p>
      <w:pPr>
        <w:rPr>
          <w:rFonts w:ascii="黑体" w:hAnsi="黑体" w:eastAsia="黑体" w:cs="黑体"/>
          <w:sz w:val="32"/>
          <w:szCs w:val="32"/>
        </w:rPr>
      </w:pPr>
    </w:p>
    <w:p>
      <w:pPr>
        <w:pStyle w:val="13"/>
        <w:rPr>
          <w:rFonts w:ascii="黑体" w:hAnsi="黑体" w:eastAsia="黑体" w:cs="黑体"/>
          <w:sz w:val="32"/>
          <w:szCs w:val="32"/>
        </w:rPr>
      </w:pPr>
    </w:p>
    <w:p>
      <w:pPr>
        <w:pStyle w:val="13"/>
      </w:pPr>
    </w:p>
    <w:p>
      <w:pPr>
        <w:rPr>
          <w:rFonts w:ascii="黑体" w:hAnsi="黑体" w:eastAsia="黑体" w:cs="黑体"/>
          <w:sz w:val="32"/>
          <w:szCs w:val="32"/>
        </w:rPr>
      </w:pPr>
    </w:p>
    <w:p>
      <w:pPr>
        <w:pStyle w:val="13"/>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财政电子票据建设项目</w:t>
      </w:r>
      <w:r>
        <w:rPr>
          <w:rFonts w:hint="eastAsia" w:ascii="仿宋_GB2312" w:eastAsia="仿宋_GB2312"/>
          <w:sz w:val="32"/>
          <w:szCs w:val="32"/>
          <w:lang w:eastAsia="zh-CN"/>
        </w:rPr>
        <w:t>，由于第一次公告实际响应人不足三家，现进行二次公告，具体事宜公布如下：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财政电子票据建设项目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pStyle w:val="13"/>
        <w:rPr>
          <w:rFonts w:hint="eastAsia" w:ascii="仿宋_GB2312" w:hAnsi="Calibri" w:eastAsia="仿宋_GB2312" w:cs="Times New Roman"/>
          <w:kern w:val="2"/>
          <w:sz w:val="32"/>
          <w:szCs w:val="32"/>
          <w:lang w:val="en-US" w:eastAsia="zh-CN" w:bidi="ar-SA"/>
        </w:rPr>
      </w:pPr>
      <w:r>
        <w:rPr>
          <w:rFonts w:hint="eastAsia" w:ascii="黑体" w:eastAsia="黑体"/>
          <w:sz w:val="32"/>
          <w:szCs w:val="32"/>
          <w:lang w:val="en-US" w:eastAsia="zh-CN"/>
        </w:rPr>
        <w:t xml:space="preserve">   </w:t>
      </w:r>
      <w:r>
        <w:rPr>
          <w:rFonts w:hint="eastAsia" w:ascii="仿宋_GB2312" w:hAnsi="Calibri" w:eastAsia="仿宋_GB2312" w:cs="Times New Roman"/>
          <w:kern w:val="2"/>
          <w:sz w:val="32"/>
          <w:szCs w:val="32"/>
          <w:lang w:val="en-US" w:eastAsia="zh-CN" w:bidi="ar-SA"/>
        </w:rPr>
        <w:t>电子票据前置系统（含电子票据软件及应用服务器）、前置服务一体机、单位数字证书</w:t>
      </w:r>
    </w:p>
    <w:p>
      <w:pPr>
        <w:pStyle w:val="13"/>
        <w:rPr>
          <w:rFonts w:hint="eastAsia" w:eastAsia="黑体"/>
          <w:lang w:val="en-US" w:eastAsia="zh-CN"/>
        </w:rPr>
      </w:pPr>
      <w:r>
        <w:rPr>
          <w:rFonts w:hint="eastAsia" w:ascii="黑体" w:eastAsia="黑体"/>
          <w:sz w:val="32"/>
          <w:szCs w:val="32"/>
          <w:lang w:val="en-US" w:eastAsia="zh-CN"/>
        </w:rPr>
        <w:t xml:space="preserve">   </w:t>
      </w:r>
      <w:r>
        <w:rPr>
          <w:rFonts w:hint="eastAsia" w:ascii="仿宋_GB2312" w:hAnsi="Calibri" w:eastAsia="仿宋_GB2312" w:cs="Times New Roman"/>
          <w:kern w:val="2"/>
          <w:sz w:val="32"/>
          <w:szCs w:val="32"/>
          <w:lang w:val="en-US" w:eastAsia="zh-CN" w:bidi="ar-SA"/>
        </w:rPr>
        <w:t>项目具体要求详见附件</w:t>
      </w:r>
    </w:p>
    <w:p>
      <w:pPr>
        <w:numPr>
          <w:ilvl w:val="0"/>
          <w:numId w:val="4"/>
        </w:numPr>
        <w:spacing w:line="560" w:lineRule="exact"/>
        <w:ind w:firstLine="640" w:firstLineChars="200"/>
        <w:rPr>
          <w:rFonts w:hint="eastAsia" w:ascii="黑体" w:eastAsia="黑体" w:cs="Times New Roman"/>
          <w:sz w:val="32"/>
          <w:szCs w:val="32"/>
        </w:rPr>
      </w:pPr>
      <w:r>
        <w:rPr>
          <w:rFonts w:hint="eastAsia" w:ascii="黑体" w:eastAsia="黑体" w:cs="Times New Roman"/>
          <w:sz w:val="32"/>
          <w:szCs w:val="32"/>
          <w:lang w:eastAsia="zh-CN"/>
        </w:rPr>
        <w:t>供应商</w:t>
      </w:r>
      <w:r>
        <w:rPr>
          <w:rFonts w:hint="eastAsia" w:ascii="黑体" w:eastAsia="黑体" w:cs="Times New Roman"/>
          <w:sz w:val="32"/>
          <w:szCs w:val="32"/>
        </w:rPr>
        <w:t>资格要求</w:t>
      </w:r>
    </w:p>
    <w:p>
      <w:pPr>
        <w:numPr>
          <w:ilvl w:val="0"/>
          <w:numId w:val="5"/>
        </w:num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供应商在中国境内注册、具有合法的经营资格</w:t>
      </w:r>
      <w:r>
        <w:rPr>
          <w:rFonts w:hint="eastAsia" w:ascii="仿宋_GB2312" w:eastAsia="仿宋_GB2312"/>
          <w:sz w:val="32"/>
          <w:szCs w:val="32"/>
          <w:lang w:eastAsia="zh-CN"/>
        </w:rPr>
        <w:t>，</w:t>
      </w:r>
      <w:r>
        <w:rPr>
          <w:rFonts w:hint="eastAsia" w:ascii="仿宋_GB2312" w:eastAsia="仿宋_GB2312"/>
          <w:sz w:val="32"/>
          <w:szCs w:val="32"/>
        </w:rPr>
        <w:t>具备承担采购项目的能力；</w:t>
      </w:r>
    </w:p>
    <w:p>
      <w:pPr>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lang w:eastAsia="zh-CN"/>
        </w:rPr>
        <w:t>供应商应具有相关资质，具备履行项目所必需的设备和专业技术能力，提供相关资质证明材料</w:t>
      </w:r>
      <w:r>
        <w:rPr>
          <w:rFonts w:hint="eastAsia" w:ascii="仿宋_GB2312" w:eastAsia="仿宋_GB2312"/>
          <w:sz w:val="32"/>
          <w:szCs w:val="32"/>
          <w:lang w:val="en-US" w:eastAsia="zh-CN"/>
        </w:rPr>
        <w:t>；</w:t>
      </w:r>
    </w:p>
    <w:p>
      <w:pPr>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供应商不得有商业贿赂和不正当欺诈行为。如供应商被证实有以上行为，将被视为不合格；</w:t>
      </w:r>
    </w:p>
    <w:p>
      <w:pPr>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pStyle w:val="13"/>
        <w:numPr>
          <w:ilvl w:val="0"/>
          <w:numId w:val="0"/>
        </w:numPr>
        <w:ind w:firstLine="640" w:firstLineChars="200"/>
        <w:rPr>
          <w:rFonts w:hint="eastAsia"/>
        </w:rPr>
      </w:pPr>
      <w:r>
        <w:rPr>
          <w:rFonts w:hint="eastAsia" w:ascii="仿宋_GB2312" w:eastAsia="仿宋_GB2312" w:cs="Times New Roman"/>
          <w:kern w:val="2"/>
          <w:sz w:val="32"/>
          <w:szCs w:val="32"/>
          <w:lang w:val="en-US" w:eastAsia="zh-CN" w:bidi="ar-SA"/>
        </w:rPr>
        <w:t>5、</w:t>
      </w:r>
      <w:r>
        <w:rPr>
          <w:rFonts w:hint="eastAsia" w:ascii="仿宋_GB2312" w:hAnsi="Calibri" w:eastAsia="仿宋_GB2312" w:cs="Times New Roman"/>
          <w:kern w:val="2"/>
          <w:sz w:val="32"/>
          <w:szCs w:val="32"/>
          <w:lang w:val="en-US" w:eastAsia="zh-CN" w:bidi="ar-SA"/>
        </w:rPr>
        <w:t>供应商不能是被列入“信用中国”和国家企业信息公示系统严重违法失信企业名单的供应商。</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26</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12</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6"/>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6"/>
        </w:numPr>
        <w:spacing w:line="560" w:lineRule="exact"/>
        <w:ind w:left="0" w:leftChars="0"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原件及复印件一份，授权委托书以及被授权人身份证，以及资格要求中的第</w:t>
      </w:r>
      <w:r>
        <w:rPr>
          <w:rFonts w:hint="eastAsia" w:ascii="仿宋_GB2312" w:eastAsia="仿宋_GB2312"/>
          <w:color w:val="FF0000"/>
          <w:sz w:val="32"/>
          <w:szCs w:val="32"/>
          <w:lang w:val="en-US" w:eastAsia="zh-CN"/>
        </w:rPr>
        <w:t>2项佐证材料。</w:t>
      </w:r>
    </w:p>
    <w:p>
      <w:pPr>
        <w:numPr>
          <w:ilvl w:val="0"/>
          <w:numId w:val="0"/>
        </w:numPr>
        <w:spacing w:line="560" w:lineRule="exact"/>
        <w:ind w:leftChars="200" w:firstLine="320" w:firstLineChars="1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rPr>
      </w:pPr>
      <w:bookmarkStart w:id="15" w:name="_GoBack"/>
      <w:bookmarkEnd w:id="15"/>
    </w:p>
    <w:p>
      <w:pPr>
        <w:spacing w:line="560" w:lineRule="exact"/>
        <w:ind w:firstLine="643" w:firstLineChars="200"/>
        <w:rPr>
          <w:rFonts w:hint="default" w:ascii="仿宋_GB2312" w:eastAsia="仿宋_GB2312"/>
          <w:b/>
          <w:sz w:val="32"/>
          <w:szCs w:val="32"/>
        </w:rPr>
      </w:pPr>
    </w:p>
    <w:p>
      <w:pPr>
        <w:pStyle w:val="13"/>
        <w:ind w:firstLine="643" w:firstLineChars="200"/>
        <w:rPr>
          <w:rFonts w:hint="default" w:ascii="仿宋_GB2312" w:eastAsia="仿宋_GB2312"/>
          <w:b/>
          <w:sz w:val="32"/>
          <w:szCs w:val="32"/>
        </w:rPr>
      </w:pPr>
    </w:p>
    <w:p>
      <w:pPr>
        <w:pStyle w:val="13"/>
        <w:ind w:firstLine="643" w:firstLineChars="200"/>
        <w:rPr>
          <w:rFonts w:hint="default" w:ascii="仿宋_GB2312" w:eastAsia="仿宋_GB2312"/>
          <w:b/>
          <w:sz w:val="32"/>
          <w:szCs w:val="32"/>
        </w:rPr>
      </w:pPr>
    </w:p>
    <w:p>
      <w:pPr>
        <w:pStyle w:val="13"/>
        <w:ind w:firstLine="643" w:firstLineChars="200"/>
        <w:rPr>
          <w:rFonts w:hint="default" w:ascii="仿宋_GB2312" w:eastAsia="仿宋_GB2312"/>
          <w:b/>
          <w:sz w:val="32"/>
          <w:szCs w:val="32"/>
        </w:rPr>
      </w:pPr>
    </w:p>
    <w:p>
      <w:pPr>
        <w:pStyle w:val="13"/>
        <w:ind w:firstLine="643" w:firstLineChars="200"/>
        <w:rPr>
          <w:rFonts w:hint="default" w:ascii="仿宋_GB2312" w:eastAsia="仿宋_GB2312"/>
          <w:b/>
          <w:sz w:val="32"/>
          <w:szCs w:val="32"/>
        </w:rPr>
      </w:pPr>
    </w:p>
    <w:p>
      <w:pPr>
        <w:pStyle w:val="13"/>
        <w:ind w:firstLine="643" w:firstLineChars="200"/>
        <w:rPr>
          <w:rFonts w:hint="default" w:ascii="仿宋_GB2312" w:eastAsia="仿宋_GB2312"/>
          <w:b/>
          <w:sz w:val="32"/>
          <w:szCs w:val="32"/>
        </w:rPr>
      </w:pPr>
    </w:p>
    <w:p>
      <w:pPr>
        <w:pStyle w:val="13"/>
        <w:ind w:firstLine="643" w:firstLineChars="200"/>
        <w:rPr>
          <w:rFonts w:hint="default" w:ascii="仿宋_GB2312" w:eastAsia="仿宋_GB2312"/>
          <w:b/>
          <w:sz w:val="32"/>
          <w:szCs w:val="32"/>
        </w:rPr>
      </w:pPr>
    </w:p>
    <w:p>
      <w:pPr>
        <w:pStyle w:val="13"/>
        <w:ind w:firstLine="643" w:firstLineChars="200"/>
        <w:rPr>
          <w:rFonts w:hint="default" w:ascii="仿宋_GB2312" w:eastAsia="仿宋_GB2312"/>
          <w:b/>
          <w:sz w:val="32"/>
          <w:szCs w:val="32"/>
        </w:rPr>
      </w:pPr>
    </w:p>
    <w:p>
      <w:pPr>
        <w:pStyle w:val="13"/>
        <w:rPr>
          <w:rFonts w:hint="default" w:ascii="仿宋_GB2312" w:eastAsia="仿宋_GB2312"/>
          <w:b/>
          <w:sz w:val="32"/>
          <w:szCs w:val="32"/>
        </w:rPr>
      </w:pPr>
    </w:p>
    <w:p>
      <w:pPr>
        <w:pStyle w:val="13"/>
        <w:rPr>
          <w:rFonts w:hint="default" w:ascii="仿宋_GB2312" w:eastAsia="仿宋_GB2312"/>
          <w:b/>
          <w:sz w:val="32"/>
          <w:szCs w:val="32"/>
        </w:rPr>
      </w:pPr>
    </w:p>
    <w:p>
      <w:pPr>
        <w:pStyle w:val="13"/>
        <w:rPr>
          <w:rFonts w:hint="default" w:ascii="仿宋_GB2312" w:eastAsia="仿宋_GB2312"/>
          <w:b/>
          <w:sz w:val="32"/>
          <w:szCs w:val="32"/>
        </w:rPr>
      </w:pPr>
    </w:p>
    <w:p>
      <w:pPr>
        <w:rPr>
          <w:rFonts w:hint="eastAsia"/>
          <w:lang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7"/>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0"/>
        </w:num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0"/>
        </w:num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5.响应文件的格式要求按照响应文件格式要求准备。</w:t>
      </w:r>
    </w:p>
    <w:p>
      <w:pPr>
        <w:numPr>
          <w:ilvl w:val="0"/>
          <w:numId w:val="0"/>
        </w:num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0"/>
        </w:numP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0"/>
        </w:numP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ind w:left="320"/>
        <w:rPr>
          <w:rFonts w:ascii="仿宋_GB2312" w:hAnsi="仿宋_GB2312" w:eastAsia="仿宋_GB2312" w:cs="仿宋_GB2312"/>
          <w:sz w:val="32"/>
          <w:szCs w:val="32"/>
        </w:rPr>
      </w:pP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0"/>
        </w:numP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pStyle w:val="13"/>
      </w:pP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81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810"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技术部分</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w:t>
            </w:r>
            <w:r>
              <w:rPr>
                <w:rFonts w:hint="eastAsia" w:ascii="宋体" w:hAnsi="宋体" w:cs="宋体"/>
                <w:color w:val="000000" w:themeColor="text1"/>
                <w:szCs w:val="21"/>
                <w:u w:val="single"/>
                <w14:textFill>
                  <w14:solidFill>
                    <w14:schemeClr w14:val="tx1"/>
                  </w14:solidFill>
                </w14:textFill>
              </w:rPr>
              <w:t xml:space="preserve">0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30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1" w:hRule="atLeast"/>
          <w:jc w:val="center"/>
        </w:trPr>
        <w:tc>
          <w:tcPr>
            <w:tcW w:w="1486" w:type="dxa"/>
            <w:gridSpan w:val="2"/>
            <w:vMerge w:val="restart"/>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技术部分</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4810"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kern w:val="0"/>
              </w:rPr>
              <w:t>对投标人提供的项目理解和需求分析进行评价，包括项目理解、现状分析、功能分析等方面，评委根据项目理解和需求分析的完整性、准确性、合理性 进行横向评比打分，优（5分），良（3分），一般（2分），本项5分。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1" w:hRule="atLeast"/>
          <w:jc w:val="center"/>
        </w:trPr>
        <w:tc>
          <w:tcPr>
            <w:tcW w:w="1486" w:type="dxa"/>
            <w:gridSpan w:val="2"/>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rPr>
                <w:rFonts w:hint="eastAsia" w:ascii="宋体" w:hAnsi="宋体" w:cs="宋体"/>
                <w:color w:val="000000" w:themeColor="text1"/>
                <w:szCs w:val="21"/>
                <w:lang w:eastAsia="zh-CN"/>
                <w14:textFill>
                  <w14:solidFill>
                    <w14:schemeClr w14:val="tx1"/>
                  </w14:solidFill>
                </w14:textFill>
              </w:rPr>
            </w:pPr>
          </w:p>
        </w:tc>
        <w:tc>
          <w:tcPr>
            <w:tcW w:w="4810" w:type="dxa"/>
          </w:tcPr>
          <w:p>
            <w:pPr>
              <w:spacing w:before="120" w:after="120" w:line="360" w:lineRule="auto"/>
              <w:rPr>
                <w:rFonts w:hint="eastAsia" w:ascii="宋体" w:hAnsi="宋体" w:cs="宋体"/>
                <w:kern w:val="0"/>
              </w:rPr>
            </w:pPr>
            <w:r>
              <w:rPr>
                <w:rFonts w:hint="eastAsia" w:ascii="宋体" w:hAnsi="宋体" w:cs="宋体"/>
                <w:kern w:val="0"/>
              </w:rPr>
              <w:t>结合本单位现有自建系统现状，提供详细技术方案。包括系统架构、系统功能、系统性能等，评委根据技术方案的成熟度、合理性、可行性进行等方面进行打分。优（8-10分），良（5-7分），一般（1-4分），本项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1" w:hRule="atLeast"/>
          <w:jc w:val="center"/>
        </w:trPr>
        <w:tc>
          <w:tcPr>
            <w:tcW w:w="1486" w:type="dxa"/>
            <w:gridSpan w:val="2"/>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rPr>
                <w:rFonts w:hint="eastAsia" w:ascii="宋体" w:hAnsi="宋体" w:cs="宋体"/>
                <w:color w:val="000000" w:themeColor="text1"/>
                <w:szCs w:val="21"/>
                <w:lang w:eastAsia="zh-CN"/>
                <w14:textFill>
                  <w14:solidFill>
                    <w14:schemeClr w14:val="tx1"/>
                  </w14:solidFill>
                </w14:textFill>
              </w:rPr>
            </w:pPr>
          </w:p>
        </w:tc>
        <w:tc>
          <w:tcPr>
            <w:tcW w:w="4810" w:type="dxa"/>
          </w:tcPr>
          <w:p>
            <w:pPr>
              <w:widowControl/>
              <w:ind w:firstLine="0" w:firstLineChars="0"/>
              <w:jc w:val="left"/>
              <w:rPr>
                <w:rFonts w:ascii="宋体" w:hAnsi="宋体" w:cs="宋体"/>
                <w:kern w:val="0"/>
              </w:rPr>
            </w:pPr>
            <w:r>
              <w:rPr>
                <w:rFonts w:hint="eastAsia" w:ascii="宋体" w:hAnsi="宋体" w:cs="宋体"/>
                <w:kern w:val="0"/>
              </w:rPr>
              <w:t>要求支持如下功能：</w:t>
            </w:r>
          </w:p>
          <w:p>
            <w:pPr>
              <w:widowControl/>
              <w:numPr>
                <w:ilvl w:val="0"/>
                <w:numId w:val="9"/>
              </w:numPr>
              <w:ind w:firstLineChars="0"/>
              <w:jc w:val="left"/>
              <w:rPr>
                <w:rFonts w:ascii="宋体" w:hAnsi="宋体" w:cs="宋体"/>
                <w:kern w:val="0"/>
              </w:rPr>
            </w:pPr>
            <w:r>
              <w:rPr>
                <w:rFonts w:hint="eastAsia" w:ascii="宋体" w:hAnsi="宋体" w:cs="宋体"/>
                <w:kern w:val="0"/>
              </w:rPr>
              <w:t>与本单位自建系统的对接服务:实现收款结算数据核对无误后批量开具电子票据；（1分）</w:t>
            </w:r>
          </w:p>
          <w:p>
            <w:pPr>
              <w:widowControl/>
              <w:numPr>
                <w:ilvl w:val="0"/>
                <w:numId w:val="9"/>
              </w:numPr>
              <w:ind w:firstLineChars="0"/>
              <w:jc w:val="left"/>
              <w:rPr>
                <w:rFonts w:ascii="宋体" w:hAnsi="宋体" w:cs="宋体"/>
                <w:kern w:val="0"/>
              </w:rPr>
            </w:pPr>
            <w:r>
              <w:rPr>
                <w:rFonts w:hint="eastAsia" w:ascii="宋体" w:hAnsi="宋体" w:cs="宋体"/>
                <w:kern w:val="0"/>
              </w:rPr>
              <w:t>与财政电子票据平台系统的对接服务：实现电子票据信息的加密和数据传输方式，经财政票据平台验签并监制签名，生成电子票据PDF版式文件。（1分）</w:t>
            </w:r>
          </w:p>
          <w:p>
            <w:pPr>
              <w:widowControl/>
              <w:numPr>
                <w:ilvl w:val="0"/>
                <w:numId w:val="9"/>
              </w:numPr>
              <w:ind w:firstLineChars="0"/>
              <w:jc w:val="left"/>
              <w:rPr>
                <w:rFonts w:ascii="宋体" w:hAnsi="宋体" w:cs="宋体"/>
                <w:kern w:val="0"/>
              </w:rPr>
            </w:pPr>
            <w:r>
              <w:rPr>
                <w:rFonts w:hint="eastAsia" w:ascii="宋体" w:hAnsi="宋体" w:cs="宋体"/>
                <w:kern w:val="0"/>
              </w:rPr>
              <w:t>与本单位信息查询平台的对接服务：方便缴款人通过信息查询平台查询电子票据信息。（1分）</w:t>
            </w:r>
          </w:p>
          <w:p>
            <w:pPr>
              <w:widowControl/>
              <w:numPr>
                <w:ilvl w:val="0"/>
                <w:numId w:val="9"/>
              </w:numPr>
              <w:ind w:firstLineChars="0"/>
              <w:jc w:val="left"/>
              <w:rPr>
                <w:rFonts w:ascii="宋体" w:hAnsi="宋体" w:cs="宋体"/>
                <w:kern w:val="0"/>
              </w:rPr>
            </w:pPr>
            <w:r>
              <w:rPr>
                <w:rFonts w:hint="eastAsia" w:ascii="宋体" w:hAnsi="宋体" w:cs="宋体"/>
                <w:kern w:val="0"/>
              </w:rPr>
              <w:t>与本单位短信群发平台的对接服务：开具电子票据后，自动给缴款人发送通知短信。（1分）</w:t>
            </w:r>
          </w:p>
          <w:p>
            <w:pPr>
              <w:spacing w:before="120" w:after="120" w:line="360" w:lineRule="auto"/>
              <w:rPr>
                <w:rFonts w:hint="eastAsia" w:ascii="宋体" w:hAnsi="宋体" w:cs="宋体"/>
                <w:kern w:val="0"/>
              </w:rPr>
            </w:pPr>
            <w:r>
              <w:rPr>
                <w:rFonts w:hint="eastAsia" w:ascii="宋体" w:hAnsi="宋体" w:cs="宋体"/>
                <w:kern w:val="0"/>
              </w:rPr>
              <w:t>与本单位自助柜面系统的对接服务：缴款人可通过自助柜面系统查询电子票据信息。（1分）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1" w:hRule="atLeast"/>
          <w:jc w:val="center"/>
        </w:trPr>
        <w:tc>
          <w:tcPr>
            <w:tcW w:w="1486" w:type="dxa"/>
            <w:gridSpan w:val="2"/>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rPr>
                <w:rFonts w:hint="eastAsia" w:ascii="宋体" w:hAnsi="宋体" w:cs="宋体"/>
                <w:color w:val="000000" w:themeColor="text1"/>
                <w:szCs w:val="21"/>
                <w:lang w:eastAsia="zh-CN"/>
                <w14:textFill>
                  <w14:solidFill>
                    <w14:schemeClr w14:val="tx1"/>
                  </w14:solidFill>
                </w14:textFill>
              </w:rPr>
            </w:pPr>
          </w:p>
        </w:tc>
        <w:tc>
          <w:tcPr>
            <w:tcW w:w="4810" w:type="dxa"/>
          </w:tcPr>
          <w:p>
            <w:pPr>
              <w:spacing w:before="120" w:after="120" w:line="360" w:lineRule="auto"/>
              <w:rPr>
                <w:rFonts w:hint="eastAsia" w:ascii="宋体" w:hAnsi="宋体" w:cs="宋体"/>
                <w:kern w:val="0"/>
              </w:rPr>
            </w:pPr>
            <w:r>
              <w:rPr>
                <w:rFonts w:hint="eastAsia" w:ascii="宋体" w:hAnsi="宋体" w:cs="宋体"/>
                <w:kern w:val="0"/>
              </w:rPr>
              <w:t>对投标人提供的项目实施与项目管理方案进行评价，包括实施质量、风险、进度、安全、文档管理方案等，评委根据实施方案的科学性、合理性、可行性进行横向评比打分，优（5分），良（3分），一般 （2分），本项5分。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3"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pStyle w:val="16"/>
              <w:widowControl/>
              <w:numPr>
                <w:ilvl w:val="0"/>
                <w:numId w:val="10"/>
              </w:numPr>
              <w:ind w:firstLineChars="0"/>
              <w:jc w:val="left"/>
              <w:rPr>
                <w:rFonts w:ascii="宋体" w:hAnsi="宋体" w:cs="宋体"/>
                <w:kern w:val="0"/>
              </w:rPr>
            </w:pPr>
            <w:r>
              <w:rPr>
                <w:rFonts w:hint="eastAsia" w:ascii="宋体" w:hAnsi="宋体" w:cs="宋体"/>
                <w:kern w:val="0"/>
              </w:rPr>
              <w:t>根据投标人对采购需求的响应程度，对项目经理、各个阶段投入本项目人员，包括需求分析阶段、系统设计研发阶段、系统测试阶段、系统实施等各个阶段的人员投入、人员分类合理性等方面进行评价，横向评比，在0-3分之间打分。</w:t>
            </w:r>
          </w:p>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kern w:val="0"/>
              </w:rPr>
              <w:t>项目团队核心人员应具有丰富的管理经验，提供相关证书及社保缴纳证明。（2分）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综合实力（5分）</w:t>
            </w:r>
          </w:p>
        </w:tc>
        <w:tc>
          <w:tcPr>
            <w:tcW w:w="4810"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4810"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4" w:hRule="atLeast"/>
          <w:jc w:val="center"/>
        </w:trPr>
        <w:tc>
          <w:tcPr>
            <w:tcW w:w="754" w:type="dxa"/>
            <w:vAlign w:val="center"/>
          </w:tcPr>
          <w:p>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732"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widowControl/>
              <w:numPr>
                <w:ilvl w:val="0"/>
                <w:numId w:val="11"/>
              </w:numPr>
              <w:ind w:left="0" w:firstLine="480"/>
              <w:jc w:val="left"/>
              <w:rPr>
                <w:rFonts w:ascii="宋体" w:hAnsi="宋体" w:cs="宋体"/>
                <w:kern w:val="0"/>
                <w:highlight w:val="none"/>
              </w:rPr>
            </w:pPr>
            <w:r>
              <w:rPr>
                <w:rFonts w:hint="eastAsia" w:ascii="宋体" w:hAnsi="宋体" w:cs="宋体"/>
                <w:kern w:val="0"/>
                <w:highlight w:val="none"/>
              </w:rPr>
              <w:t>投标人或供应商应在采购人所在地设有分公司，若无分公司应针对本项目设有办事处，提供营业执照复印件或办事处驻地证明材料。（5分）</w:t>
            </w:r>
          </w:p>
          <w:p>
            <w:pPr>
              <w:widowControl/>
              <w:numPr>
                <w:ilvl w:val="0"/>
                <w:numId w:val="11"/>
              </w:numPr>
              <w:ind w:left="0" w:firstLine="480"/>
              <w:jc w:val="left"/>
              <w:rPr>
                <w:rFonts w:ascii="宋体" w:hAnsi="宋体" w:cs="宋体"/>
                <w:kern w:val="0"/>
                <w:highlight w:val="none"/>
              </w:rPr>
            </w:pPr>
            <w:r>
              <w:rPr>
                <w:rFonts w:hint="eastAsia" w:ascii="宋体" w:hAnsi="宋体" w:cs="宋体"/>
                <w:kern w:val="0"/>
                <w:highlight w:val="none"/>
              </w:rPr>
              <w:t>投标人或供应商需提供7*24小时呼叫中心服务，须有自建呼叫中心系统，提供呼叫系统 Web页面截图证明、系统建设投标人合同证明（10分）</w:t>
            </w:r>
          </w:p>
          <w:p>
            <w:pPr>
              <w:widowControl/>
              <w:numPr>
                <w:ilvl w:val="0"/>
                <w:numId w:val="11"/>
              </w:numPr>
              <w:ind w:left="0" w:firstLine="480"/>
              <w:jc w:val="left"/>
              <w:rPr>
                <w:rFonts w:ascii="宋体" w:hAnsi="宋体" w:cs="宋体"/>
                <w:kern w:val="0"/>
                <w:highlight w:val="none"/>
              </w:rPr>
            </w:pPr>
            <w:r>
              <w:rPr>
                <w:rFonts w:hint="eastAsia" w:ascii="宋体" w:hAnsi="宋体" w:cs="宋体"/>
                <w:kern w:val="0"/>
                <w:highlight w:val="none"/>
              </w:rPr>
              <w:t>呼叫中心人员不少于30人，提供缴纳社保证明（低于30人或不提供社保证明不得分）（10分）</w:t>
            </w:r>
          </w:p>
          <w:p>
            <w:pPr>
              <w:pStyle w:val="14"/>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cs="宋体"/>
                <w:kern w:val="0"/>
                <w:highlight w:val="none"/>
              </w:rPr>
              <w:t>接入坐席不少于15条，提供租赁合同证明（低于15条坐席或不提供租赁合同不得分）（5分）</w:t>
            </w:r>
          </w:p>
        </w:tc>
      </w:tr>
    </w:tbl>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rPr>
          <w:rFonts w:ascii="黑体" w:hAnsi="黑体" w:eastAsia="黑体" w:cs="黑体"/>
          <w:sz w:val="32"/>
          <w:szCs w:val="32"/>
        </w:rPr>
      </w:pPr>
    </w:p>
    <w:p>
      <w:pPr>
        <w:pStyle w:val="13"/>
        <w:rPr>
          <w:rFonts w:hint="eastAsia" w:ascii="黑体" w:hAnsi="黑体" w:eastAsia="黑体" w:cs="黑体"/>
          <w:sz w:val="32"/>
          <w:szCs w:val="32"/>
        </w:rPr>
      </w:pPr>
    </w:p>
    <w:p>
      <w:pPr>
        <w:pStyle w:val="13"/>
        <w:rPr>
          <w:rFonts w:hint="eastAsia" w:ascii="黑体" w:hAnsi="黑体" w:eastAsia="黑体" w:cs="黑体"/>
          <w:sz w:val="32"/>
          <w:szCs w:val="32"/>
        </w:rPr>
      </w:pPr>
    </w:p>
    <w:p>
      <w:pPr>
        <w:pStyle w:val="13"/>
        <w:rPr>
          <w:rFonts w:hint="eastAsia" w:ascii="黑体" w:hAnsi="黑体" w:eastAsia="黑体" w:cs="黑体"/>
          <w:sz w:val="32"/>
          <w:szCs w:val="32"/>
        </w:rPr>
      </w:pPr>
    </w:p>
    <w:p>
      <w:pPr>
        <w:pStyle w:val="13"/>
        <w:rPr>
          <w:rFonts w:hint="eastAsia" w:ascii="黑体" w:hAnsi="黑体" w:eastAsia="黑体" w:cs="黑体"/>
          <w:sz w:val="32"/>
          <w:szCs w:val="32"/>
        </w:rPr>
      </w:pPr>
    </w:p>
    <w:p>
      <w:pPr>
        <w:pStyle w:val="13"/>
        <w:rPr>
          <w:rFonts w:hint="eastAsia" w:ascii="黑体" w:hAnsi="黑体" w:eastAsia="黑体" w:cs="黑体"/>
          <w:sz w:val="32"/>
          <w:szCs w:val="32"/>
        </w:rPr>
      </w:pPr>
    </w:p>
    <w:p>
      <w:pPr>
        <w:pStyle w:val="13"/>
        <w:rPr>
          <w:rFonts w:hint="eastAsia" w:ascii="黑体" w:hAnsi="黑体" w:eastAsia="黑体" w:cs="黑体"/>
          <w:sz w:val="32"/>
          <w:szCs w:val="32"/>
        </w:rPr>
      </w:pPr>
    </w:p>
    <w:p>
      <w:pPr>
        <w:pStyle w:val="13"/>
        <w:rPr>
          <w:rFonts w:hint="eastAsia" w:ascii="黑体" w:hAnsi="黑体" w:eastAsia="黑体" w:cs="黑体"/>
          <w:sz w:val="32"/>
          <w:szCs w:val="32"/>
        </w:rPr>
      </w:pPr>
    </w:p>
    <w:p>
      <w:pPr>
        <w:pStyle w:val="13"/>
        <w:rPr>
          <w:rFonts w:hint="eastAsia" w:ascii="黑体" w:hAnsi="黑体" w:eastAsia="黑体" w:cs="黑体"/>
          <w:sz w:val="32"/>
          <w:szCs w:val="32"/>
        </w:rPr>
      </w:pPr>
    </w:p>
    <w:p>
      <w:pPr>
        <w:pStyle w:val="13"/>
        <w:rPr>
          <w:rFonts w:hint="eastAsia" w:ascii="黑体" w:hAnsi="黑体" w:eastAsia="黑体" w:cs="黑体"/>
          <w:sz w:val="32"/>
          <w:szCs w:val="32"/>
        </w:rPr>
      </w:pPr>
    </w:p>
    <w:p>
      <w:pPr>
        <w:pStyle w:val="13"/>
        <w:rPr>
          <w:rFonts w:hint="eastAsia" w:ascii="黑体" w:hAnsi="黑体" w:eastAsia="黑体" w:cs="黑体"/>
          <w:sz w:val="32"/>
          <w:szCs w:val="32"/>
        </w:rPr>
      </w:pPr>
    </w:p>
    <w:p>
      <w:pPr>
        <w:pStyle w:val="13"/>
        <w:rPr>
          <w:rFonts w:hint="eastAsia" w:ascii="黑体" w:hAnsi="黑体" w:eastAsia="黑体" w:cs="黑体"/>
          <w:sz w:val="32"/>
          <w:szCs w:val="32"/>
        </w:rPr>
      </w:pPr>
    </w:p>
    <w:p>
      <w:pPr>
        <w:pStyle w:val="13"/>
        <w:rPr>
          <w:rFonts w:hint="eastAsia" w:ascii="黑体" w:hAnsi="黑体" w:eastAsia="黑体" w:cs="黑体"/>
          <w:sz w:val="32"/>
          <w:szCs w:val="32"/>
        </w:rPr>
      </w:pPr>
    </w:p>
    <w:p>
      <w:pPr>
        <w:pStyle w:val="13"/>
        <w:rPr>
          <w:rFonts w:hint="eastAsia" w:ascii="黑体" w:hAnsi="黑体" w:eastAsia="黑体" w:cs="黑体"/>
          <w:sz w:val="32"/>
          <w:szCs w:val="32"/>
        </w:rPr>
      </w:pPr>
    </w:p>
    <w:p>
      <w:pPr>
        <w:pStyle w:val="13"/>
        <w:rPr>
          <w:rFonts w:hint="eastAsia" w:ascii="黑体" w:hAnsi="黑体" w:eastAsia="黑体" w:cs="黑体"/>
          <w:sz w:val="32"/>
          <w:szCs w:val="32"/>
        </w:rPr>
      </w:pPr>
    </w:p>
    <w:p>
      <w:pPr>
        <w:pStyle w:val="13"/>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ind w:firstLine="420" w:firstLineChars="200"/>
      </w:pPr>
      <w:r>
        <w:rPr>
          <w:rFonts w:hint="eastAsia"/>
          <w:lang w:eastAsia="zh-CN"/>
        </w:rPr>
        <w:t>甲方</w:t>
      </w:r>
      <w:r>
        <w:rPr>
          <w:rFonts w:hint="eastAsia"/>
        </w:rPr>
        <w:t>：__</w:t>
      </w:r>
      <w:r>
        <w:rPr>
          <w:rFonts w:hint="eastAsia"/>
          <w:u w:val="single"/>
          <w:lang w:eastAsia="zh-CN"/>
        </w:rPr>
        <w:t>新郑市公立人民医院</w:t>
      </w:r>
      <w:r>
        <w:rPr>
          <w:rFonts w:hint="eastAsia"/>
        </w:rPr>
        <w:t>_______(以下简称甲方)</w:t>
      </w:r>
    </w:p>
    <w:p>
      <w:r>
        <w:rPr>
          <w:rFonts w:hint="eastAsia"/>
        </w:rPr>
        <w:t>　　</w:t>
      </w:r>
      <w:r>
        <w:rPr>
          <w:rFonts w:hint="eastAsia"/>
          <w:lang w:eastAsia="zh-CN"/>
        </w:rPr>
        <w:t>乙方</w:t>
      </w:r>
      <w:r>
        <w:rPr>
          <w:rFonts w:hint="eastAsia"/>
        </w:rPr>
        <w:t>：_________(以下简称乙方)</w:t>
      </w:r>
    </w:p>
    <w:p>
      <w:r>
        <w:rPr>
          <w:rFonts w:hint="eastAsia"/>
        </w:rPr>
        <w:t>　　经甲、乙双方充分友好协商，就__</w:t>
      </w:r>
      <w:r>
        <w:rPr>
          <w:rFonts w:hint="eastAsia"/>
          <w:u w:val="single"/>
          <w:lang w:val="en-US" w:eastAsia="zh-CN"/>
        </w:rPr>
        <w:t>新郑市公立人民医院财政电子票据建设项目</w:t>
      </w:r>
      <w:r>
        <w:rPr>
          <w:rFonts w:hint="eastAsia"/>
        </w:rPr>
        <w:t>特订立本合同，以便共同遵守。</w:t>
      </w:r>
    </w:p>
    <w:p>
      <w:pPr>
        <w:numPr>
          <w:ilvl w:val="0"/>
          <w:numId w:val="12"/>
        </w:numPr>
        <w:ind w:left="420" w:leftChars="0" w:firstLine="0" w:firstLineChars="0"/>
        <w:rPr>
          <w:rFonts w:hint="eastAsia"/>
          <w:lang w:eastAsia="zh-CN"/>
        </w:rPr>
      </w:pPr>
      <w:r>
        <w:rPr>
          <w:rFonts w:hint="eastAsia"/>
          <w:lang w:eastAsia="zh-CN"/>
        </w:rPr>
        <w:t>项目名称</w:t>
      </w:r>
    </w:p>
    <w:p>
      <w:pPr>
        <w:pStyle w:val="13"/>
        <w:rPr>
          <w:rFonts w:hint="eastAsia"/>
          <w:lang w:val="en-US" w:eastAsia="zh-CN"/>
        </w:rPr>
      </w:pPr>
      <w:r>
        <w:rPr>
          <w:rFonts w:hint="eastAsia"/>
          <w:lang w:val="en-US" w:eastAsia="zh-CN"/>
        </w:rPr>
        <w:t xml:space="preserve">   新郑市公立人民医院财政电子票据建设项目</w:t>
      </w:r>
    </w:p>
    <w:p>
      <w:pPr>
        <w:ind w:firstLine="420" w:firstLineChars="200"/>
        <w:rPr>
          <w:rFonts w:hint="eastAsia" w:eastAsiaTheme="minorEastAsia"/>
          <w:lang w:eastAsia="zh-CN"/>
        </w:rPr>
      </w:pPr>
      <w:r>
        <w:rPr>
          <w:rFonts w:hint="eastAsia"/>
        </w:rPr>
        <w:t>二、</w:t>
      </w:r>
      <w:r>
        <w:rPr>
          <w:rFonts w:hint="eastAsia"/>
          <w:lang w:eastAsia="zh-CN"/>
        </w:rPr>
        <w:t>项目内容</w:t>
      </w:r>
    </w:p>
    <w:p>
      <w:pPr>
        <w:numPr>
          <w:ilvl w:val="0"/>
          <w:numId w:val="0"/>
        </w:numPr>
        <w:ind w:leftChars="200"/>
        <w:rPr>
          <w:rFonts w:hint="eastAsia"/>
          <w:lang w:eastAsia="zh-CN"/>
        </w:rPr>
      </w:pPr>
      <w:r>
        <w:rPr>
          <w:rFonts w:hint="eastAsia"/>
          <w:lang w:eastAsia="zh-CN"/>
        </w:rPr>
        <w:t>三、服务期限：</w:t>
      </w:r>
    </w:p>
    <w:p>
      <w:pPr>
        <w:numPr>
          <w:ilvl w:val="0"/>
          <w:numId w:val="0"/>
        </w:numPr>
        <w:ind w:leftChars="200"/>
        <w:rPr>
          <w:rFonts w:hint="eastAsia"/>
          <w:u w:val="none"/>
          <w:lang w:val="en-US" w:eastAsia="zh-CN"/>
        </w:rPr>
      </w:pPr>
      <w:r>
        <w:rPr>
          <w:rFonts w:hint="eastAsia"/>
          <w:u w:val="single"/>
          <w:lang w:val="en-US" w:eastAsia="zh-CN"/>
        </w:rPr>
        <w:t xml:space="preserve">   </w:t>
      </w:r>
      <w:r>
        <w:rPr>
          <w:rFonts w:hint="eastAsia"/>
          <w:lang w:val="en-US" w:eastAsia="zh-CN"/>
        </w:rPr>
        <w:t xml:space="preserve">年 </w:t>
      </w:r>
      <w:r>
        <w:rPr>
          <w:rFonts w:hint="eastAsia"/>
          <w:u w:val="single"/>
          <w:lang w:val="en-US" w:eastAsia="zh-CN"/>
        </w:rPr>
        <w:t xml:space="preserve">   </w:t>
      </w:r>
      <w:r>
        <w:rPr>
          <w:rFonts w:hint="eastAsia"/>
          <w:u w:val="none"/>
          <w:lang w:val="en-US" w:eastAsia="zh-CN"/>
        </w:rPr>
        <w:t>月</w:t>
      </w:r>
      <w:r>
        <w:rPr>
          <w:rFonts w:hint="eastAsia"/>
          <w:u w:val="single"/>
          <w:lang w:val="en-US" w:eastAsia="zh-CN"/>
        </w:rPr>
        <w:t xml:space="preserve">   </w:t>
      </w:r>
      <w:r>
        <w:rPr>
          <w:rFonts w:hint="eastAsia"/>
          <w:u w:val="none"/>
          <w:lang w:val="en-US" w:eastAsia="zh-CN"/>
        </w:rPr>
        <w:t>日至</w:t>
      </w:r>
      <w:r>
        <w:rPr>
          <w:rFonts w:hint="eastAsia"/>
          <w:u w:val="single"/>
          <w:lang w:val="en-US" w:eastAsia="zh-CN"/>
        </w:rPr>
        <w:t xml:space="preserve">   </w:t>
      </w:r>
      <w:r>
        <w:rPr>
          <w:rFonts w:hint="eastAsia"/>
          <w:u w:val="none"/>
          <w:lang w:val="en-US" w:eastAsia="zh-CN"/>
        </w:rPr>
        <w:t>年</w:t>
      </w:r>
      <w:r>
        <w:rPr>
          <w:rFonts w:hint="eastAsia"/>
          <w:u w:val="single"/>
          <w:lang w:val="en-US" w:eastAsia="zh-CN"/>
        </w:rPr>
        <w:t xml:space="preserve">   </w:t>
      </w:r>
      <w:r>
        <w:rPr>
          <w:rFonts w:hint="eastAsia"/>
          <w:u w:val="none"/>
          <w:lang w:val="en-US" w:eastAsia="zh-CN"/>
        </w:rPr>
        <w:t>月</w:t>
      </w:r>
      <w:r>
        <w:rPr>
          <w:rFonts w:hint="eastAsia"/>
          <w:u w:val="single"/>
          <w:lang w:val="en-US" w:eastAsia="zh-CN"/>
        </w:rPr>
        <w:t xml:space="preserve">    </w:t>
      </w:r>
      <w:r>
        <w:rPr>
          <w:rFonts w:hint="eastAsia"/>
          <w:u w:val="none"/>
          <w:lang w:val="en-US" w:eastAsia="zh-CN"/>
        </w:rPr>
        <w:t>日</w:t>
      </w:r>
    </w:p>
    <w:p>
      <w:pPr>
        <w:pStyle w:val="13"/>
        <w:numPr>
          <w:ilvl w:val="0"/>
          <w:numId w:val="0"/>
        </w:numPr>
        <w:ind w:firstLine="480" w:firstLineChars="200"/>
        <w:rPr>
          <w:rFonts w:hint="eastAsia"/>
          <w:u w:val="none"/>
          <w:lang w:val="en-US" w:eastAsia="zh-CN"/>
        </w:rPr>
      </w:pPr>
      <w:r>
        <w:rPr>
          <w:rFonts w:hint="eastAsia"/>
          <w:u w:val="none"/>
          <w:lang w:val="en-US" w:eastAsia="zh-CN"/>
        </w:rPr>
        <w:t>四、合同价款</w:t>
      </w:r>
    </w:p>
    <w:p>
      <w:pPr>
        <w:pStyle w:val="13"/>
        <w:numPr>
          <w:ilvl w:val="0"/>
          <w:numId w:val="0"/>
        </w:numPr>
        <w:rPr>
          <w:rFonts w:hint="eastAsia"/>
          <w:u w:val="none"/>
          <w:lang w:val="en-US" w:eastAsia="zh-CN"/>
        </w:rPr>
      </w:pPr>
      <w:r>
        <w:rPr>
          <w:rFonts w:hint="eastAsia"/>
          <w:u w:val="none"/>
          <w:lang w:val="en-US" w:eastAsia="zh-CN"/>
        </w:rPr>
        <w:t xml:space="preserve">     </w:t>
      </w:r>
      <w:r>
        <w:rPr>
          <w:rFonts w:hint="eastAsia"/>
          <w:u w:val="single"/>
          <w:lang w:val="en-US" w:eastAsia="zh-CN"/>
        </w:rPr>
        <w:t xml:space="preserve">                  </w:t>
      </w:r>
      <w:r>
        <w:rPr>
          <w:rFonts w:hint="eastAsia"/>
          <w:u w:val="none"/>
          <w:lang w:val="en-US" w:eastAsia="zh-CN"/>
        </w:rPr>
        <w:t>万元，大写：</w:t>
      </w:r>
      <w:r>
        <w:rPr>
          <w:rFonts w:hint="eastAsia"/>
          <w:u w:val="single"/>
          <w:lang w:val="en-US" w:eastAsia="zh-CN"/>
        </w:rPr>
        <w:t xml:space="preserve">               </w:t>
      </w:r>
    </w:p>
    <w:p>
      <w:pPr>
        <w:pStyle w:val="13"/>
        <w:numPr>
          <w:ilvl w:val="0"/>
          <w:numId w:val="13"/>
        </w:numPr>
        <w:ind w:left="420" w:leftChars="200" w:firstLine="0" w:firstLineChars="0"/>
        <w:rPr>
          <w:rFonts w:hint="eastAsia"/>
          <w:u w:val="none"/>
          <w:lang w:val="en-US" w:eastAsia="zh-CN"/>
        </w:rPr>
      </w:pPr>
      <w:r>
        <w:rPr>
          <w:rFonts w:hint="eastAsia"/>
          <w:u w:val="none"/>
          <w:lang w:val="en-US" w:eastAsia="zh-CN"/>
        </w:rPr>
        <w:t>资金来源及结算办法</w:t>
      </w:r>
    </w:p>
    <w:p>
      <w:pPr>
        <w:pStyle w:val="13"/>
        <w:numPr>
          <w:ilvl w:val="0"/>
          <w:numId w:val="0"/>
        </w:numPr>
        <w:ind w:leftChars="200"/>
        <w:rPr>
          <w:rFonts w:hint="eastAsia"/>
          <w:u w:val="single"/>
          <w:lang w:val="en-US" w:eastAsia="zh-CN"/>
        </w:rPr>
      </w:pPr>
      <w:r>
        <w:rPr>
          <w:rFonts w:hint="eastAsia"/>
          <w:u w:val="single"/>
          <w:lang w:val="en-US" w:eastAsia="zh-CN"/>
        </w:rPr>
        <w:t xml:space="preserve">                                                               </w:t>
      </w:r>
    </w:p>
    <w:p>
      <w:pPr>
        <w:pStyle w:val="13"/>
        <w:numPr>
          <w:ilvl w:val="0"/>
          <w:numId w:val="13"/>
        </w:numPr>
        <w:ind w:left="420" w:leftChars="200" w:firstLine="0" w:firstLineChars="0"/>
        <w:rPr>
          <w:rFonts w:hint="eastAsia"/>
          <w:u w:val="none"/>
          <w:lang w:val="en-US" w:eastAsia="zh-CN"/>
        </w:rPr>
      </w:pPr>
      <w:r>
        <w:rPr>
          <w:rFonts w:hint="eastAsia"/>
          <w:u w:val="none"/>
          <w:lang w:val="en-US" w:eastAsia="zh-CN"/>
        </w:rPr>
        <w:t>双方权利义务：</w:t>
      </w:r>
    </w:p>
    <w:p>
      <w:pPr>
        <w:pStyle w:val="13"/>
        <w:numPr>
          <w:ilvl w:val="0"/>
          <w:numId w:val="0"/>
        </w:numPr>
        <w:ind w:leftChars="200"/>
        <w:rPr>
          <w:rFonts w:hint="eastAsia"/>
          <w:u w:val="none"/>
          <w:lang w:val="en-US" w:eastAsia="zh-CN"/>
        </w:rPr>
      </w:pPr>
    </w:p>
    <w:p>
      <w:r>
        <w:rPr>
          <w:rFonts w:hint="eastAsia"/>
        </w:rPr>
        <w:t>　</w:t>
      </w:r>
      <w:r>
        <w:rPr>
          <w:rFonts w:hint="eastAsia" w:eastAsia="宋体" w:asciiTheme="minorHAnsi" w:hAnsiTheme="minorHAnsi" w:cstheme="minorBidi"/>
          <w:kern w:val="2"/>
          <w:sz w:val="24"/>
          <w:szCs w:val="24"/>
          <w:u w:val="none"/>
          <w:lang w:val="en-US" w:eastAsia="zh-CN" w:bidi="ar-SA"/>
        </w:rPr>
        <w:t>　</w:t>
      </w:r>
      <w:r>
        <w:rPr>
          <w:rFonts w:hint="eastAsia" w:eastAsia="宋体" w:cstheme="minorBidi"/>
          <w:kern w:val="2"/>
          <w:sz w:val="24"/>
          <w:szCs w:val="24"/>
          <w:u w:val="none"/>
          <w:lang w:val="en-US" w:eastAsia="zh-CN" w:bidi="ar-SA"/>
        </w:rPr>
        <w:t>七</w:t>
      </w:r>
      <w:r>
        <w:rPr>
          <w:rFonts w:hint="eastAsia" w:eastAsia="宋体" w:asciiTheme="minorHAnsi" w:hAnsiTheme="minorHAnsi" w:cstheme="minorBidi"/>
          <w:kern w:val="2"/>
          <w:sz w:val="24"/>
          <w:szCs w:val="24"/>
          <w:u w:val="none"/>
          <w:lang w:val="en-US" w:eastAsia="zh-CN" w:bidi="ar-SA"/>
        </w:rPr>
        <w:t>、</w:t>
      </w:r>
      <w:r>
        <w:rPr>
          <w:rFonts w:hint="eastAsia"/>
        </w:rPr>
        <w:t>其它约定事项</w:t>
      </w:r>
    </w:p>
    <w:p>
      <w:r>
        <w:rPr>
          <w:rFonts w:hint="eastAsia"/>
        </w:rPr>
        <w:t>　　本合同未尽事宜，可由甲乙双方商定，并签署书面补充协议。</w:t>
      </w:r>
    </w:p>
    <w:p>
      <w:r>
        <w:rPr>
          <w:rFonts w:hint="eastAsia"/>
        </w:rPr>
        <w:t>　　本合同一式_________份，其中正本_________份，副本_________份，都具有同等法律效力。</w:t>
      </w:r>
    </w:p>
    <w:p>
      <w:r>
        <w:rPr>
          <w:rFonts w:hint="eastAsia"/>
        </w:rPr>
        <w:t>　　甲方(盖章)：___________________</w:t>
      </w:r>
    </w:p>
    <w:p>
      <w:r>
        <w:rPr>
          <w:rFonts w:hint="eastAsia"/>
        </w:rPr>
        <w:t>　　委托代表人(签字)：_____________</w:t>
      </w:r>
    </w:p>
    <w:p>
      <w:r>
        <w:rPr>
          <w:rFonts w:hint="eastAsia"/>
        </w:rPr>
        <w:t>　　___________年________月________日</w:t>
      </w:r>
    </w:p>
    <w:p>
      <w:r>
        <w:rPr>
          <w:rFonts w:hint="eastAsia"/>
        </w:rPr>
        <w:t>　　乙方(盖章)：___________________</w:t>
      </w:r>
    </w:p>
    <w:p>
      <w:r>
        <w:rPr>
          <w:rFonts w:hint="eastAsia"/>
        </w:rPr>
        <w:t>　　委托代表人(签字)：_____________</w:t>
      </w:r>
    </w:p>
    <w:p>
      <w:pPr>
        <w:rPr>
          <w:rFonts w:hint="eastAsia" w:ascii="黑体" w:hAnsi="黑体" w:eastAsia="黑体" w:cs="黑体"/>
          <w:sz w:val="32"/>
          <w:szCs w:val="32"/>
        </w:rPr>
      </w:pPr>
      <w:r>
        <w:rPr>
          <w:rFonts w:hint="eastAsia"/>
        </w:rPr>
        <w:t>　　___________年________月________</w:t>
      </w:r>
    </w:p>
    <w:p>
      <w:pPr>
        <w:pStyle w:val="13"/>
        <w:rPr>
          <w:rFonts w:hint="eastAsia" w:ascii="黑体" w:hAnsi="黑体" w:eastAsia="黑体" w:cs="黑体"/>
          <w:sz w:val="32"/>
          <w:szCs w:val="32"/>
        </w:rPr>
      </w:pPr>
    </w:p>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pStyle w:val="13"/>
        <w:rPr>
          <w:rFonts w:ascii="方正小标宋简体" w:eastAsia="方正小标宋简体"/>
          <w:color w:val="000000"/>
          <w:sz w:val="44"/>
          <w:szCs w:val="44"/>
        </w:rPr>
      </w:pPr>
    </w:p>
    <w:p>
      <w:pPr>
        <w:pStyle w:val="13"/>
        <w:rPr>
          <w:rFonts w:ascii="方正小标宋简体" w:eastAsia="方正小标宋简体"/>
          <w:color w:val="000000"/>
          <w:sz w:val="44"/>
          <w:szCs w:val="44"/>
        </w:rPr>
      </w:pPr>
    </w:p>
    <w:p>
      <w:pPr>
        <w:pStyle w:val="13"/>
        <w:rPr>
          <w:rFonts w:ascii="方正小标宋简体" w:eastAsia="方正小标宋简体"/>
          <w:color w:val="000000"/>
          <w:sz w:val="44"/>
          <w:szCs w:val="44"/>
        </w:rPr>
      </w:pPr>
    </w:p>
    <w:p>
      <w:pPr>
        <w:pStyle w:val="13"/>
        <w:rPr>
          <w:rFonts w:ascii="方正小标宋简体" w:eastAsia="方正小标宋简体"/>
          <w:color w:val="000000"/>
          <w:sz w:val="44"/>
          <w:szCs w:val="44"/>
        </w:rPr>
      </w:pPr>
    </w:p>
    <w:p>
      <w:pPr>
        <w:tabs>
          <w:tab w:val="left" w:pos="2510"/>
          <w:tab w:val="center" w:pos="4153"/>
        </w:tabs>
        <w:jc w:val="both"/>
        <w:rPr>
          <w:rFonts w:ascii="方正小标宋简体" w:eastAsia="方正小标宋简体"/>
          <w:color w:val="000000"/>
          <w:sz w:val="44"/>
          <w:szCs w:val="44"/>
        </w:rPr>
      </w:pPr>
    </w:p>
    <w:p>
      <w:pPr>
        <w:tabs>
          <w:tab w:val="left" w:pos="2510"/>
          <w:tab w:val="center" w:pos="4153"/>
        </w:tabs>
        <w:jc w:val="both"/>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13"/>
        <w:rPr>
          <w:rFonts w:hint="eastAsia" w:ascii="宋体" w:hAnsi="宋体"/>
          <w:b/>
          <w:color w:val="000000"/>
          <w:sz w:val="32"/>
          <w:szCs w:val="32"/>
        </w:rPr>
      </w:pPr>
    </w:p>
    <w:p>
      <w:pPr>
        <w:pStyle w:val="13"/>
        <w:rPr>
          <w:rFonts w:hint="eastAsia"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、及其他资质证明材料、及人员资质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项目实施</w:t>
            </w:r>
            <w:r>
              <w:rPr>
                <w:rFonts w:hint="eastAsia" w:ascii="仿宋" w:hAnsi="仿宋" w:eastAsia="仿宋"/>
                <w:b/>
                <w:color w:val="C00000"/>
                <w:sz w:val="22"/>
                <w:szCs w:val="21"/>
              </w:rPr>
              <w:t>方案</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tc>
        <w:tc>
          <w:tcPr>
            <w:tcW w:w="5587"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20878640"/>
      <w:bookmarkStart w:id="1" w:name="_Toc10762"/>
      <w:bookmarkStart w:id="2" w:name="_Toc15313"/>
      <w:bookmarkStart w:id="3" w:name="_Toc258360269"/>
      <w:bookmarkStart w:id="4" w:name="_Toc258333636"/>
      <w:bookmarkStart w:id="5" w:name="_Toc261708863"/>
      <w:bookmarkStart w:id="6" w:name="_Toc9548"/>
      <w:bookmarkStart w:id="7" w:name="_Toc304219257"/>
      <w:bookmarkStart w:id="8" w:name="_Toc337475854"/>
      <w:bookmarkStart w:id="9" w:name="_Toc258354146"/>
      <w:bookmarkStart w:id="10" w:name="_Toc17030"/>
      <w:bookmarkStart w:id="11" w:name="_Toc258360158"/>
      <w:bookmarkStart w:id="12" w:name="_Toc337554724"/>
      <w:bookmarkStart w:id="13" w:name="_Toc248896063"/>
      <w:bookmarkStart w:id="14" w:name="_Toc219626747"/>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13"/>
      </w:pPr>
    </w:p>
    <w:p>
      <w:pPr>
        <w:pStyle w:val="13"/>
        <w:rPr>
          <w:rFonts w:ascii="方正小标宋简体" w:eastAsia="方正小标宋简体"/>
          <w:color w:val="000000"/>
          <w:sz w:val="44"/>
          <w:szCs w:val="44"/>
        </w:rPr>
      </w:pPr>
    </w:p>
    <w:p>
      <w:pPr>
        <w:pStyle w:val="13"/>
        <w:rPr>
          <w:rFonts w:ascii="方正小标宋简体" w:eastAsia="方正小标宋简体"/>
          <w:color w:val="000000"/>
          <w:sz w:val="44"/>
          <w:szCs w:val="44"/>
        </w:rPr>
      </w:pPr>
    </w:p>
    <w:p>
      <w:pPr>
        <w:pStyle w:val="13"/>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13"/>
        <w:rPr>
          <w:rFonts w:ascii="黑体" w:eastAsia="黑体"/>
          <w:color w:val="000000"/>
          <w:sz w:val="32"/>
          <w:szCs w:val="32"/>
        </w:rPr>
      </w:pPr>
    </w:p>
    <w:p>
      <w:pPr>
        <w:pStyle w:val="13"/>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087474"/>
    <w:multiLevelType w:val="singleLevel"/>
    <w:tmpl w:val="94087474"/>
    <w:lvl w:ilvl="0" w:tentative="0">
      <w:start w:val="1"/>
      <w:numFmt w:val="decimal"/>
      <w:suff w:val="nothing"/>
      <w:lvlText w:val="%1、"/>
      <w:lvlJc w:val="left"/>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E39646FF"/>
    <w:multiLevelType w:val="singleLevel"/>
    <w:tmpl w:val="E39646FF"/>
    <w:lvl w:ilvl="0" w:tentative="0">
      <w:start w:val="1"/>
      <w:numFmt w:val="decimal"/>
      <w:lvlText w:val="%1）"/>
      <w:lvlJc w:val="left"/>
      <w:pPr>
        <w:ind w:left="425" w:hanging="425"/>
      </w:pPr>
      <w:rPr>
        <w:rFonts w:ascii="宋体" w:hAnsi="宋体" w:eastAsia="宋体" w:cs="宋体"/>
      </w:rPr>
    </w:lvl>
  </w:abstractNum>
  <w:abstractNum w:abstractNumId="5">
    <w:nsid w:val="F5F59E80"/>
    <w:multiLevelType w:val="singleLevel"/>
    <w:tmpl w:val="F5F59E80"/>
    <w:lvl w:ilvl="0" w:tentative="0">
      <w:start w:val="1"/>
      <w:numFmt w:val="decimal"/>
      <w:suff w:val="space"/>
      <w:lvlText w:val="%1."/>
      <w:lvlJc w:val="left"/>
    </w:lvl>
  </w:abstractNum>
  <w:abstractNum w:abstractNumId="6">
    <w:nsid w:val="FAAD69C7"/>
    <w:multiLevelType w:val="singleLevel"/>
    <w:tmpl w:val="FAAD69C7"/>
    <w:lvl w:ilvl="0" w:tentative="0">
      <w:start w:val="1"/>
      <w:numFmt w:val="decimal"/>
      <w:lvlText w:val="%1)"/>
      <w:lvlJc w:val="left"/>
      <w:pPr>
        <w:ind w:left="425" w:hanging="425"/>
      </w:pPr>
      <w:rPr>
        <w:rFonts w:hint="default"/>
      </w:rPr>
    </w:lvl>
  </w:abstractNum>
  <w:abstractNum w:abstractNumId="7">
    <w:nsid w:val="FCB30B72"/>
    <w:multiLevelType w:val="singleLevel"/>
    <w:tmpl w:val="FCB30B72"/>
    <w:lvl w:ilvl="0" w:tentative="0">
      <w:start w:val="1"/>
      <w:numFmt w:val="decimal"/>
      <w:lvlText w:val="%1)"/>
      <w:lvlJc w:val="left"/>
      <w:pPr>
        <w:ind w:left="425" w:hanging="425"/>
      </w:pPr>
      <w:rPr>
        <w:rFonts w:hint="default"/>
      </w:rPr>
    </w:lvl>
  </w:abstractNum>
  <w:abstractNum w:abstractNumId="8">
    <w:nsid w:val="3636DBDA"/>
    <w:multiLevelType w:val="singleLevel"/>
    <w:tmpl w:val="3636DBDA"/>
    <w:lvl w:ilvl="0" w:tentative="0">
      <w:start w:val="1"/>
      <w:numFmt w:val="chineseCounting"/>
      <w:suff w:val="space"/>
      <w:lvlText w:val="第%1章"/>
      <w:lvlJc w:val="left"/>
      <w:rPr>
        <w:rFonts w:hint="eastAsia"/>
      </w:rPr>
    </w:lvl>
  </w:abstractNum>
  <w:abstractNum w:abstractNumId="9">
    <w:nsid w:val="396F3B09"/>
    <w:multiLevelType w:val="singleLevel"/>
    <w:tmpl w:val="396F3B09"/>
    <w:lvl w:ilvl="0" w:tentative="0">
      <w:start w:val="5"/>
      <w:numFmt w:val="chineseCounting"/>
      <w:suff w:val="nothing"/>
      <w:lvlText w:val="%1、"/>
      <w:lvlJc w:val="left"/>
      <w:rPr>
        <w:rFonts w:hint="eastAsia"/>
      </w:rPr>
    </w:lvl>
  </w:abstractNum>
  <w:abstractNum w:abstractNumId="10">
    <w:nsid w:val="3E577C4A"/>
    <w:multiLevelType w:val="singleLevel"/>
    <w:tmpl w:val="3E577C4A"/>
    <w:lvl w:ilvl="0" w:tentative="0">
      <w:start w:val="2"/>
      <w:numFmt w:val="decimal"/>
      <w:suff w:val="nothing"/>
      <w:lvlText w:val="%1、"/>
      <w:lvlJc w:val="left"/>
    </w:lvl>
  </w:abstractNum>
  <w:abstractNum w:abstractNumId="11">
    <w:nsid w:val="6C7FF1A3"/>
    <w:multiLevelType w:val="singleLevel"/>
    <w:tmpl w:val="6C7FF1A3"/>
    <w:lvl w:ilvl="0" w:tentative="0">
      <w:start w:val="1"/>
      <w:numFmt w:val="chineseCounting"/>
      <w:suff w:val="space"/>
      <w:lvlText w:val="%1、"/>
      <w:lvlJc w:val="left"/>
      <w:pPr>
        <w:ind w:left="420" w:leftChars="0" w:firstLine="0" w:firstLineChars="0"/>
      </w:pPr>
      <w:rPr>
        <w:rFonts w:hint="eastAsia"/>
      </w:rPr>
    </w:lvl>
  </w:abstractNum>
  <w:abstractNum w:abstractNumId="12">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8"/>
  </w:num>
  <w:num w:numId="2">
    <w:abstractNumId w:val="12"/>
  </w:num>
  <w:num w:numId="3">
    <w:abstractNumId w:val="3"/>
  </w:num>
  <w:num w:numId="4">
    <w:abstractNumId w:val="2"/>
  </w:num>
  <w:num w:numId="5">
    <w:abstractNumId w:val="0"/>
  </w:num>
  <w:num w:numId="6">
    <w:abstractNumId w:val="10"/>
  </w:num>
  <w:num w:numId="7">
    <w:abstractNumId w:val="1"/>
  </w:num>
  <w:num w:numId="8">
    <w:abstractNumId w:val="5"/>
  </w:num>
  <w:num w:numId="9">
    <w:abstractNumId w:val="7"/>
  </w:num>
  <w:num w:numId="10">
    <w:abstractNumId w:val="4"/>
  </w:num>
  <w:num w:numId="11">
    <w:abstractNumId w:val="6"/>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AE801F9"/>
    <w:rsid w:val="0B9D1095"/>
    <w:rsid w:val="0CE95F36"/>
    <w:rsid w:val="0CFB4C25"/>
    <w:rsid w:val="0E9016D0"/>
    <w:rsid w:val="0E93621F"/>
    <w:rsid w:val="101A65D1"/>
    <w:rsid w:val="111B0067"/>
    <w:rsid w:val="114C35D9"/>
    <w:rsid w:val="11C31BE9"/>
    <w:rsid w:val="12A11F66"/>
    <w:rsid w:val="14682D8B"/>
    <w:rsid w:val="14C320D4"/>
    <w:rsid w:val="16A21141"/>
    <w:rsid w:val="16A35C46"/>
    <w:rsid w:val="17D81E85"/>
    <w:rsid w:val="188744A6"/>
    <w:rsid w:val="1965314B"/>
    <w:rsid w:val="1C900C49"/>
    <w:rsid w:val="1CBB5195"/>
    <w:rsid w:val="1D995826"/>
    <w:rsid w:val="1E4C6245"/>
    <w:rsid w:val="22D615A8"/>
    <w:rsid w:val="2333171D"/>
    <w:rsid w:val="245F44FD"/>
    <w:rsid w:val="246624B2"/>
    <w:rsid w:val="24DF7354"/>
    <w:rsid w:val="24FE3AD7"/>
    <w:rsid w:val="25E13CF1"/>
    <w:rsid w:val="2643733F"/>
    <w:rsid w:val="264A511E"/>
    <w:rsid w:val="26C158E2"/>
    <w:rsid w:val="278100C0"/>
    <w:rsid w:val="288B4898"/>
    <w:rsid w:val="2A7E0BB7"/>
    <w:rsid w:val="2B0A7B44"/>
    <w:rsid w:val="2CDF58F3"/>
    <w:rsid w:val="2D28334F"/>
    <w:rsid w:val="2E7F19E0"/>
    <w:rsid w:val="2F570DF0"/>
    <w:rsid w:val="2F632DBF"/>
    <w:rsid w:val="30217C48"/>
    <w:rsid w:val="31827FC3"/>
    <w:rsid w:val="31CB0A48"/>
    <w:rsid w:val="33F956F6"/>
    <w:rsid w:val="384A7AD5"/>
    <w:rsid w:val="3B2A4846"/>
    <w:rsid w:val="3B5373B6"/>
    <w:rsid w:val="3D5A39F8"/>
    <w:rsid w:val="3D5D6495"/>
    <w:rsid w:val="3EDC78BB"/>
    <w:rsid w:val="438F0656"/>
    <w:rsid w:val="44B67130"/>
    <w:rsid w:val="4656733B"/>
    <w:rsid w:val="486D7AF7"/>
    <w:rsid w:val="494804BB"/>
    <w:rsid w:val="4B4638AD"/>
    <w:rsid w:val="4B9C1C97"/>
    <w:rsid w:val="4BC500AA"/>
    <w:rsid w:val="4BDA1F2E"/>
    <w:rsid w:val="4FCE5CD6"/>
    <w:rsid w:val="53501B3C"/>
    <w:rsid w:val="550B217C"/>
    <w:rsid w:val="563E288F"/>
    <w:rsid w:val="57162389"/>
    <w:rsid w:val="57575861"/>
    <w:rsid w:val="58453A4D"/>
    <w:rsid w:val="5AD50E25"/>
    <w:rsid w:val="5D4D3632"/>
    <w:rsid w:val="5F053FBA"/>
    <w:rsid w:val="615523A0"/>
    <w:rsid w:val="649D2897"/>
    <w:rsid w:val="649D3A7F"/>
    <w:rsid w:val="64E26821"/>
    <w:rsid w:val="65207F71"/>
    <w:rsid w:val="65394126"/>
    <w:rsid w:val="66016CC0"/>
    <w:rsid w:val="695C7637"/>
    <w:rsid w:val="69B54528"/>
    <w:rsid w:val="6A67750E"/>
    <w:rsid w:val="6B83299F"/>
    <w:rsid w:val="6CD8518D"/>
    <w:rsid w:val="6ECA7999"/>
    <w:rsid w:val="6F8E4227"/>
    <w:rsid w:val="738608DB"/>
    <w:rsid w:val="745F5922"/>
    <w:rsid w:val="78481C82"/>
    <w:rsid w:val="785D666A"/>
    <w:rsid w:val="78BC0632"/>
    <w:rsid w:val="78BE0AF1"/>
    <w:rsid w:val="792701E6"/>
    <w:rsid w:val="798E357B"/>
    <w:rsid w:val="7A06537A"/>
    <w:rsid w:val="7A4335FB"/>
    <w:rsid w:val="7AFC68A2"/>
    <w:rsid w:val="7B0B3C73"/>
    <w:rsid w:val="7BC97F92"/>
    <w:rsid w:val="7CF966CC"/>
    <w:rsid w:val="7D0B50F4"/>
    <w:rsid w:val="7D9D36A9"/>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annotation text"/>
    <w:basedOn w:val="1"/>
    <w:qFormat/>
    <w:uiPriority w:val="0"/>
    <w:pPr>
      <w:jc w:val="left"/>
    </w:p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 Spacing"/>
    <w:basedOn w:val="1"/>
    <w:qFormat/>
    <w:uiPriority w:val="1"/>
    <w:pPr>
      <w:spacing w:after="0" w:line="400" w:lineRule="exact"/>
    </w:pPr>
    <w:rPr>
      <w:rFonts w:eastAsia="宋体"/>
      <w:sz w:val="24"/>
    </w:rPr>
  </w:style>
  <w:style w:type="paragraph" w:customStyle="1" w:styleId="14">
    <w:name w:val="Normal_3"/>
    <w:qFormat/>
    <w:uiPriority w:val="0"/>
    <w:rPr>
      <w:rFonts w:ascii="Times New Roman" w:hAnsi="Times New Roman" w:eastAsia="Times New Roman" w:cs="Times New Roman"/>
      <w:sz w:val="24"/>
      <w:szCs w:val="24"/>
      <w:lang w:val="en-US" w:eastAsia="zh-CN" w:bidi="ar-SA"/>
    </w:rPr>
  </w:style>
  <w:style w:type="character" w:customStyle="1" w:styleId="15">
    <w:name w:val="页脚 字符"/>
    <w:basedOn w:val="7"/>
    <w:link w:val="4"/>
    <w:qFormat/>
    <w:uiPriority w:val="0"/>
    <w:rPr>
      <w:rFonts w:asciiTheme="minorHAnsi" w:hAnsiTheme="minorHAnsi" w:eastAsiaTheme="minorEastAsia" w:cstheme="minorBidi"/>
      <w:kern w:val="2"/>
      <w:sz w:val="18"/>
      <w:szCs w:val="18"/>
    </w:rPr>
  </w:style>
  <w:style w:type="paragraph" w:styleId="16">
    <w:name w:val="List Paragraph"/>
    <w:basedOn w:val="1"/>
    <w:qFormat/>
    <w:uiPriority w:val="99"/>
    <w:pPr>
      <w:ind w:firstLine="420" w:firstLineChars="200"/>
    </w:pPr>
  </w:style>
  <w:style w:type="character" w:customStyle="1" w:styleId="17">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0</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2020-05-29T01:10:00Z</cp:lastPrinted>
  <dcterms:modified xsi:type="dcterms:W3CDTF">2020-11-25T05:07:25Z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