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2020年第二批新进耗材采购项目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2020年第二批新进耗材采购项目，</w:t>
      </w:r>
      <w:r>
        <w:rPr>
          <w:rFonts w:hint="eastAsia" w:ascii="仿宋_GB2312" w:eastAsia="仿宋_GB2312"/>
          <w:sz w:val="32"/>
          <w:szCs w:val="32"/>
          <w:lang w:eastAsia="zh-CN"/>
        </w:rPr>
        <w:t>现进行磋商公告，具体事宜公布如下：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2020年第二批新进耗材采购项目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r>
        <w:rPr>
          <w:rFonts w:hint="eastAsia" w:ascii="仿宋_GB2312" w:hAnsi="Calibri" w:eastAsia="仿宋_GB2312" w:cs="Times New Roman"/>
          <w:kern w:val="2"/>
          <w:sz w:val="32"/>
          <w:szCs w:val="32"/>
          <w:lang w:val="en-US" w:eastAsia="zh-CN" w:bidi="ar-SA"/>
        </w:rPr>
        <w:t>耗材清单详见附件</w:t>
      </w:r>
    </w:p>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21</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w:t>
      </w:r>
      <w:bookmarkStart w:id="15" w:name="_GoBack"/>
      <w:bookmarkEnd w:id="15"/>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304219257"/>
      <w:bookmarkStart w:id="5" w:name="_Toc17030"/>
      <w:bookmarkStart w:id="6" w:name="_Toc248896063"/>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2020-09-21T01:45:49Z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