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党办宣传标示标牌设计及安装项目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2020年7月13日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本项目为新郑市公立人民医院</w:t>
      </w:r>
      <w:r>
        <w:rPr>
          <w:rFonts w:hint="eastAsia" w:ascii="仿宋_GB2312" w:eastAsia="仿宋_GB2312"/>
          <w:sz w:val="32"/>
          <w:szCs w:val="32"/>
          <w:lang w:val="en-US" w:eastAsia="zh-CN"/>
        </w:rPr>
        <w:t>党办宣传标示标牌设计及安装项目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党办宣传标示标牌设计及安装项目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eastAsia" w:ascii="黑体" w:eastAsia="黑体"/>
          <w:sz w:val="32"/>
          <w:szCs w:val="32"/>
          <w:lang w:eastAsia="zh-CN"/>
        </w:rPr>
        <w:t>项目要求：详见附件清单</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p>
    <w:p>
      <w:pPr>
        <w:pStyle w:val="6"/>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right="0"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15</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报名地点：新郑市公立人民医院</w:t>
      </w:r>
      <w:r>
        <w:rPr>
          <w:rFonts w:hint="eastAsia" w:ascii="仿宋_GB2312" w:eastAsia="仿宋_GB2312"/>
          <w:sz w:val="32"/>
          <w:szCs w:val="32"/>
          <w:lang w:eastAsia="zh-CN"/>
        </w:rPr>
        <w:t>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hint="eastAsia" w:ascii="仿宋_GB2312" w:eastAsia="仿宋_GB2312"/>
          <w:sz w:val="32"/>
          <w:szCs w:val="32"/>
          <w:lang w:eastAsia="zh-CN"/>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bookmarkStart w:id="15" w:name="_GoBack"/>
      <w:bookmarkEnd w:id="15"/>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：响应文件应该密封递交</w:t>
      </w:r>
      <w:r>
        <w:rPr>
          <w:rFonts w:hint="eastAsia" w:ascii="仿宋_GB2312" w:hAnsi="仿宋_GB2312" w:eastAsia="仿宋_GB2312" w:cs="仿宋_GB2312"/>
          <w:sz w:val="32"/>
          <w:szCs w:val="32"/>
        </w:rPr>
        <w:t>。</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p>
      <w:pPr>
        <w:spacing w:line="500" w:lineRule="exact"/>
        <w:ind w:firstLine="482" w:firstLineChars="200"/>
        <w:jc w:val="left"/>
        <w:rPr>
          <w:rFonts w:hint="eastAsia" w:ascii="宋体" w:hAnsi="宋体" w:eastAsia="黑体"/>
          <w:b/>
          <w:bCs/>
          <w:sz w:val="24"/>
        </w:rPr>
      </w:pPr>
    </w:p>
    <w:p>
      <w:pPr>
        <w:spacing w:line="500" w:lineRule="exact"/>
        <w:ind w:firstLine="482" w:firstLineChars="200"/>
        <w:jc w:val="left"/>
        <w:rPr>
          <w:rFonts w:hint="eastAsia" w:ascii="宋体" w:hAnsi="宋体" w:eastAsia="黑体"/>
          <w:b/>
          <w:bCs/>
          <w:sz w:val="24"/>
        </w:rPr>
      </w:pPr>
      <w:r>
        <w:rPr>
          <w:rFonts w:hint="eastAsia" w:ascii="宋体" w:hAnsi="宋体" w:eastAsia="黑体"/>
          <w:b/>
          <w:bCs/>
          <w:sz w:val="24"/>
        </w:rPr>
        <w:t>综合评估法（满分100分）</w:t>
      </w:r>
    </w:p>
    <w:p>
      <w:pPr>
        <w:spacing w:line="560" w:lineRule="exact"/>
        <w:ind w:right="-92" w:rightChars="-44" w:firstLine="482" w:firstLineChars="200"/>
        <w:rPr>
          <w:rFonts w:hint="eastAsia" w:ascii="宋体" w:hAnsi="宋体"/>
          <w:sz w:val="24"/>
        </w:rPr>
      </w:pPr>
      <w:r>
        <w:rPr>
          <w:rFonts w:hint="eastAsia" w:ascii="宋体" w:hAnsi="宋体"/>
          <w:b/>
          <w:bCs/>
          <w:sz w:val="24"/>
        </w:rPr>
        <w:t>一、</w:t>
      </w:r>
      <w:r>
        <w:rPr>
          <w:rFonts w:hint="eastAsia" w:ascii="宋体" w:hAnsi="宋体"/>
          <w:b/>
          <w:bCs/>
          <w:sz w:val="24"/>
          <w:highlight w:val="none"/>
          <w:lang w:eastAsia="zh-CN"/>
        </w:rPr>
        <w:t>响应</w:t>
      </w:r>
      <w:r>
        <w:rPr>
          <w:rFonts w:hint="eastAsia" w:ascii="宋体" w:hAnsi="宋体"/>
          <w:b/>
          <w:bCs/>
          <w:sz w:val="24"/>
          <w:highlight w:val="none"/>
        </w:rPr>
        <w:t>报价（</w:t>
      </w:r>
      <w:r>
        <w:rPr>
          <w:rFonts w:hint="eastAsia" w:ascii="宋体" w:hAnsi="宋体"/>
          <w:b/>
          <w:bCs/>
          <w:sz w:val="24"/>
          <w:highlight w:val="none"/>
          <w:lang w:val="en-US" w:eastAsia="zh-CN"/>
        </w:rPr>
        <w:t>40</w:t>
      </w:r>
      <w:r>
        <w:rPr>
          <w:rFonts w:hint="eastAsia" w:ascii="宋体" w:hAnsi="宋体"/>
          <w:b/>
          <w:bCs/>
          <w:sz w:val="24"/>
          <w:highlight w:val="none"/>
        </w:rPr>
        <w:t>分）</w:t>
      </w:r>
      <w:r>
        <w:rPr>
          <w:rFonts w:hint="eastAsia" w:ascii="宋体" w:hAnsi="宋体"/>
          <w:sz w:val="24"/>
        </w:rPr>
        <w:t xml:space="preserve"> </w:t>
      </w:r>
    </w:p>
    <w:p>
      <w:pPr>
        <w:spacing w:line="560" w:lineRule="exact"/>
        <w:ind w:right="-92" w:rightChars="-44" w:firstLine="480" w:firstLineChars="200"/>
        <w:rPr>
          <w:rFonts w:hint="eastAsia" w:ascii="宋体" w:hAnsi="宋体"/>
          <w:bCs/>
          <w:sz w:val="24"/>
        </w:rPr>
      </w:pPr>
      <w:r>
        <w:rPr>
          <w:rFonts w:hint="eastAsia" w:ascii="宋体" w:hAnsi="宋体"/>
          <w:bCs/>
          <w:sz w:val="24"/>
        </w:rPr>
        <w:t>满足招标文件要求且</w:t>
      </w:r>
      <w:r>
        <w:rPr>
          <w:rFonts w:hint="eastAsia" w:ascii="宋体" w:hAnsi="宋体"/>
          <w:bCs/>
          <w:sz w:val="24"/>
          <w:lang w:eastAsia="zh-CN"/>
        </w:rPr>
        <w:t>响应</w:t>
      </w:r>
      <w:r>
        <w:rPr>
          <w:rFonts w:hint="eastAsia" w:ascii="宋体" w:hAnsi="宋体"/>
          <w:bCs/>
          <w:sz w:val="24"/>
        </w:rPr>
        <w:t>报价折扣率最低值为评标基准价，得满分</w:t>
      </w:r>
      <w:r>
        <w:rPr>
          <w:rFonts w:hint="eastAsia" w:ascii="宋体" w:hAnsi="宋体"/>
          <w:bCs/>
          <w:sz w:val="24"/>
          <w:lang w:val="en-US" w:eastAsia="zh-CN"/>
        </w:rPr>
        <w:t>40</w:t>
      </w:r>
      <w:r>
        <w:rPr>
          <w:rFonts w:hint="eastAsia" w:ascii="宋体" w:hAnsi="宋体"/>
          <w:bCs/>
          <w:sz w:val="24"/>
        </w:rPr>
        <w:t>分，其余</w:t>
      </w:r>
      <w:r>
        <w:rPr>
          <w:rFonts w:hint="eastAsia" w:ascii="宋体" w:hAnsi="宋体"/>
          <w:bCs/>
          <w:sz w:val="24"/>
          <w:lang w:eastAsia="zh-CN"/>
        </w:rPr>
        <w:t>响应</w:t>
      </w:r>
      <w:r>
        <w:rPr>
          <w:rFonts w:hint="eastAsia" w:ascii="宋体" w:hAnsi="宋体"/>
          <w:bCs/>
          <w:sz w:val="24"/>
        </w:rPr>
        <w:t>人得分按照以下公式计算：</w:t>
      </w:r>
    </w:p>
    <w:p>
      <w:pPr>
        <w:spacing w:line="560" w:lineRule="exact"/>
        <w:ind w:right="-92" w:rightChars="-44" w:firstLine="480" w:firstLineChars="200"/>
        <w:rPr>
          <w:rFonts w:hint="eastAsia" w:ascii="宋体" w:hAnsi="宋体"/>
          <w:bCs/>
          <w:sz w:val="24"/>
          <w:lang w:val="en-US" w:eastAsia="zh-CN"/>
        </w:rPr>
      </w:pPr>
      <w:r>
        <w:rPr>
          <w:rFonts w:hint="eastAsia" w:ascii="宋体" w:hAnsi="宋体"/>
          <w:bCs/>
          <w:sz w:val="24"/>
          <w:lang w:eastAsia="zh-CN"/>
        </w:rPr>
        <w:t>响应</w:t>
      </w:r>
      <w:r>
        <w:rPr>
          <w:rFonts w:hint="eastAsia" w:ascii="宋体" w:hAnsi="宋体"/>
          <w:bCs/>
          <w:sz w:val="24"/>
        </w:rPr>
        <w:t>报价得分=（评标基准价/</w:t>
      </w:r>
      <w:r>
        <w:rPr>
          <w:rFonts w:hint="eastAsia" w:ascii="宋体" w:hAnsi="宋体"/>
          <w:bCs/>
          <w:sz w:val="24"/>
          <w:lang w:eastAsia="zh-CN"/>
        </w:rPr>
        <w:t>响应</w:t>
      </w:r>
      <w:r>
        <w:rPr>
          <w:rFonts w:hint="eastAsia" w:ascii="宋体" w:hAnsi="宋体"/>
          <w:bCs/>
          <w:sz w:val="24"/>
        </w:rPr>
        <w:t>报价）*</w:t>
      </w:r>
      <w:r>
        <w:rPr>
          <w:rFonts w:hint="eastAsia" w:ascii="宋体" w:hAnsi="宋体"/>
          <w:bCs/>
          <w:sz w:val="24"/>
          <w:lang w:val="en-US" w:eastAsia="zh-CN"/>
        </w:rPr>
        <w:t>40</w:t>
      </w:r>
    </w:p>
    <w:p>
      <w:pPr>
        <w:pStyle w:val="2"/>
        <w:numPr>
          <w:ilvl w:val="0"/>
          <w:numId w:val="8"/>
        </w:numPr>
        <w:ind w:firstLine="480" w:firstLineChars="200"/>
        <w:rPr>
          <w:rFonts w:hint="eastAsia" w:ascii="宋体" w:hAnsi="宋体"/>
          <w:bCs/>
          <w:sz w:val="24"/>
          <w:lang w:val="en-US" w:eastAsia="zh-CN"/>
        </w:rPr>
      </w:pPr>
      <w:r>
        <w:rPr>
          <w:rFonts w:hint="eastAsia" w:ascii="宋体" w:hAnsi="宋体"/>
          <w:bCs/>
          <w:sz w:val="24"/>
          <w:lang w:val="en-US" w:eastAsia="zh-CN"/>
        </w:rPr>
        <w:t>产品设计及质量（30分）</w:t>
      </w:r>
    </w:p>
    <w:p>
      <w:pPr>
        <w:pStyle w:val="2"/>
        <w:numPr>
          <w:ilvl w:val="0"/>
          <w:numId w:val="0"/>
        </w:numPr>
        <w:ind w:left="240" w:leftChars="0" w:firstLine="480" w:firstLineChars="200"/>
        <w:rPr>
          <w:rFonts w:hint="eastAsia" w:ascii="宋体" w:hAnsi="宋体"/>
          <w:bCs/>
          <w:sz w:val="24"/>
          <w:lang w:val="en-US" w:eastAsia="zh-CN"/>
        </w:rPr>
      </w:pPr>
      <w:r>
        <w:rPr>
          <w:rFonts w:hint="eastAsia" w:ascii="宋体" w:hAnsi="宋体"/>
          <w:bCs/>
          <w:sz w:val="24"/>
          <w:lang w:val="en-US" w:eastAsia="zh-CN"/>
        </w:rPr>
        <w:t>根据响应人提供的设计样稿，针对款式、颜色、制造工艺在0-30分范围内进行打分</w:t>
      </w:r>
    </w:p>
    <w:p>
      <w:pPr>
        <w:pStyle w:val="2"/>
        <w:numPr>
          <w:ilvl w:val="0"/>
          <w:numId w:val="8"/>
        </w:numPr>
        <w:ind w:left="0" w:leftChars="0" w:firstLine="480" w:firstLineChars="200"/>
        <w:rPr>
          <w:rFonts w:hint="eastAsia" w:ascii="宋体" w:hAnsi="宋体"/>
          <w:bCs/>
          <w:sz w:val="24"/>
          <w:lang w:val="en-US" w:eastAsia="zh-CN"/>
        </w:rPr>
      </w:pPr>
      <w:r>
        <w:rPr>
          <w:rFonts w:hint="eastAsia" w:ascii="宋体" w:hAnsi="宋体"/>
          <w:bCs/>
          <w:sz w:val="24"/>
          <w:lang w:val="en-US" w:eastAsia="zh-CN"/>
        </w:rPr>
        <w:t>响应速度（30分）</w:t>
      </w:r>
    </w:p>
    <w:p>
      <w:pPr>
        <w:pStyle w:val="2"/>
        <w:numPr>
          <w:ilvl w:val="0"/>
          <w:numId w:val="0"/>
        </w:numPr>
        <w:ind w:leftChars="200"/>
        <w:rPr>
          <w:rFonts w:hint="eastAsia" w:ascii="宋体" w:hAnsi="宋体"/>
          <w:bCs/>
          <w:sz w:val="24"/>
          <w:lang w:val="en-US" w:eastAsia="zh-CN"/>
        </w:rPr>
      </w:pPr>
      <w:r>
        <w:rPr>
          <w:rFonts w:hint="eastAsia" w:ascii="宋体" w:hAnsi="宋体"/>
          <w:bCs/>
          <w:sz w:val="24"/>
          <w:lang w:val="en-US" w:eastAsia="zh-CN"/>
        </w:rPr>
        <w:t xml:space="preserve">   根据工期的长短在0-30分范围内进行打分</w:t>
      </w:r>
    </w:p>
    <w:p>
      <w:pPr>
        <w:spacing w:line="560" w:lineRule="exact"/>
        <w:ind w:right="-92" w:rightChars="-44" w:firstLine="482" w:firstLineChars="20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四</w:t>
      </w:r>
      <w:r>
        <w:rPr>
          <w:rFonts w:hint="eastAsia" w:ascii="宋体" w:hAnsi="宋体"/>
          <w:b/>
          <w:color w:val="000000" w:themeColor="text1"/>
          <w:sz w:val="24"/>
          <w14:textFill>
            <w14:solidFill>
              <w14:schemeClr w14:val="tx1"/>
            </w14:solidFill>
          </w14:textFill>
        </w:rPr>
        <w:t>、得分</w:t>
      </w:r>
    </w:p>
    <w:p>
      <w:pPr>
        <w:spacing w:line="560" w:lineRule="exact"/>
        <w:ind w:right="-92" w:rightChars="-44" w:firstLine="600" w:firstLineChars="25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eastAsia="zh-CN"/>
          <w14:textFill>
            <w14:solidFill>
              <w14:schemeClr w14:val="tx1"/>
            </w14:solidFill>
          </w14:textFill>
        </w:rPr>
        <w:t>响应</w:t>
      </w:r>
      <w:r>
        <w:rPr>
          <w:rFonts w:hint="eastAsia" w:ascii="宋体" w:hAnsi="宋体"/>
          <w:color w:val="000000" w:themeColor="text1"/>
          <w:sz w:val="24"/>
          <w14:textFill>
            <w14:solidFill>
              <w14:schemeClr w14:val="tx1"/>
            </w14:solidFill>
          </w14:textFill>
        </w:rPr>
        <w:t>单位最终得分：评标委员会所有成员评定分数的算术平均值，作为</w:t>
      </w:r>
      <w:r>
        <w:rPr>
          <w:rFonts w:hint="eastAsia" w:ascii="宋体" w:hAnsi="宋体"/>
          <w:color w:val="000000" w:themeColor="text1"/>
          <w:sz w:val="24"/>
          <w:lang w:eastAsia="zh-CN"/>
          <w14:textFill>
            <w14:solidFill>
              <w14:schemeClr w14:val="tx1"/>
            </w14:solidFill>
          </w14:textFill>
        </w:rPr>
        <w:t>响应</w:t>
      </w:r>
      <w:r>
        <w:rPr>
          <w:rFonts w:hint="eastAsia" w:ascii="宋体" w:hAnsi="宋体"/>
          <w:color w:val="000000" w:themeColor="text1"/>
          <w:sz w:val="24"/>
          <w14:textFill>
            <w14:solidFill>
              <w14:schemeClr w14:val="tx1"/>
            </w14:solidFill>
          </w14:textFill>
        </w:rPr>
        <w:t>单位的最终得分。</w:t>
      </w:r>
    </w:p>
    <w:p>
      <w:pPr>
        <w:spacing w:line="560" w:lineRule="exact"/>
        <w:ind w:right="-92" w:rightChars="-44" w:firstLine="600" w:firstLineChars="25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2、计算结果保留</w:t>
      </w:r>
      <w:r>
        <w:rPr>
          <w:rFonts w:hint="eastAsia" w:ascii="宋体" w:hAnsi="宋体"/>
          <w:color w:val="000000" w:themeColor="text1"/>
          <w:sz w:val="24"/>
          <w:lang w:eastAsia="zh-CN"/>
          <w14:textFill>
            <w14:solidFill>
              <w14:schemeClr w14:val="tx1"/>
            </w14:solidFill>
          </w14:textFill>
        </w:rPr>
        <w:t>整数</w:t>
      </w:r>
      <w:r>
        <w:rPr>
          <w:rFonts w:hint="eastAsia" w:ascii="宋体" w:hAnsi="宋体"/>
          <w:color w:val="000000" w:themeColor="text1"/>
          <w:sz w:val="24"/>
          <w14:textFill>
            <w14:solidFill>
              <w14:schemeClr w14:val="tx1"/>
            </w14:solidFill>
          </w14:textFill>
        </w:rPr>
        <w:t>，按四舍五入计入。</w:t>
      </w: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序号</w:t>
            </w:r>
          </w:p>
        </w:tc>
        <w:tc>
          <w:tcPr>
            <w:tcW w:w="3685"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内容</w:t>
            </w:r>
          </w:p>
        </w:tc>
        <w:tc>
          <w:tcPr>
            <w:tcW w:w="5587"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noWrap w:val="0"/>
            <w:vAlign w:val="center"/>
          </w:tcPr>
          <w:p>
            <w:pPr>
              <w:jc w:val="center"/>
              <w:rPr>
                <w:rFonts w:ascii="仿宋" w:hAnsi="仿宋" w:eastAsia="仿宋"/>
                <w:b/>
                <w:sz w:val="22"/>
                <w:szCs w:val="21"/>
              </w:rPr>
            </w:pP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目录</w:t>
            </w:r>
          </w:p>
        </w:tc>
        <w:tc>
          <w:tcPr>
            <w:tcW w:w="5587" w:type="dxa"/>
            <w:noWrap w:val="0"/>
            <w:vAlign w:val="center"/>
          </w:tcPr>
          <w:p>
            <w:pPr>
              <w:jc w:val="left"/>
              <w:rPr>
                <w:rFonts w:ascii="仿宋" w:hAnsi="仿宋" w:eastAsia="仿宋"/>
                <w:b/>
                <w:sz w:val="22"/>
                <w:szCs w:val="21"/>
              </w:rPr>
            </w:pPr>
            <w:r>
              <w:rPr>
                <w:rFonts w:hint="eastAsia" w:ascii="仿宋" w:hAnsi="仿宋" w:eastAsia="仿宋"/>
                <w:b/>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1</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报价表</w:t>
            </w:r>
          </w:p>
        </w:tc>
        <w:tc>
          <w:tcPr>
            <w:tcW w:w="5587" w:type="dxa"/>
            <w:noWrap w:val="0"/>
            <w:vAlign w:val="center"/>
          </w:tcPr>
          <w:p>
            <w:pPr>
              <w:jc w:val="left"/>
              <w:rPr>
                <w:rFonts w:ascii="仿宋" w:hAnsi="仿宋" w:eastAsia="仿宋"/>
                <w:b/>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2</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lang w:eastAsia="zh-CN"/>
              </w:rPr>
              <w:t>响应</w:t>
            </w:r>
            <w:r>
              <w:rPr>
                <w:rFonts w:hint="eastAsia" w:ascii="仿宋" w:hAnsi="仿宋" w:eastAsia="仿宋"/>
                <w:b/>
                <w:sz w:val="22"/>
                <w:szCs w:val="21"/>
              </w:rPr>
              <w:t>响应函</w:t>
            </w:r>
          </w:p>
        </w:tc>
        <w:tc>
          <w:tcPr>
            <w:tcW w:w="5587" w:type="dxa"/>
            <w:noWrap w:val="0"/>
            <w:vAlign w:val="center"/>
          </w:tcPr>
          <w:p>
            <w:pPr>
              <w:jc w:val="left"/>
              <w:rPr>
                <w:rFonts w:hint="eastAsia" w:ascii="仿宋" w:hAnsi="仿宋" w:eastAsia="仿宋"/>
                <w:b/>
                <w:sz w:val="22"/>
                <w:szCs w:val="21"/>
                <w:lang w:eastAsia="zh-CN"/>
              </w:rPr>
            </w:pPr>
            <w:r>
              <w:rPr>
                <w:rFonts w:hint="eastAsia" w:ascii="仿宋" w:hAnsi="仿宋" w:eastAsia="仿宋"/>
                <w:b/>
                <w:sz w:val="22"/>
                <w:szCs w:val="21"/>
              </w:rPr>
              <w:t>格式见附件</w:t>
            </w:r>
            <w:r>
              <w:rPr>
                <w:rFonts w:hint="eastAsia" w:ascii="仿宋" w:hAnsi="仿宋" w:eastAsia="仿宋"/>
                <w:b/>
                <w:sz w:val="22"/>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3</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法人授权委托书</w:t>
            </w:r>
            <w:r>
              <w:rPr>
                <w:rFonts w:hint="eastAsia" w:ascii="仿宋" w:hAnsi="仿宋" w:eastAsia="仿宋" w:cs="宋体"/>
                <w:b/>
                <w:bCs/>
                <w:kern w:val="0"/>
                <w:sz w:val="22"/>
                <w:szCs w:val="21"/>
              </w:rPr>
              <w:t>/法人身份证明文件</w:t>
            </w:r>
          </w:p>
        </w:tc>
        <w:tc>
          <w:tcPr>
            <w:tcW w:w="5587" w:type="dxa"/>
            <w:noWrap w:val="0"/>
            <w:vAlign w:val="center"/>
          </w:tcPr>
          <w:p>
            <w:pPr>
              <w:jc w:val="left"/>
              <w:rPr>
                <w:rFonts w:hint="eastAsia" w:ascii="仿宋" w:hAnsi="仿宋" w:eastAsia="仿宋" w:cs="宋体"/>
                <w:b/>
                <w:bCs/>
                <w:kern w:val="0"/>
                <w:sz w:val="22"/>
                <w:szCs w:val="21"/>
                <w:lang w:eastAsia="zh-CN"/>
              </w:rPr>
            </w:pPr>
            <w:r>
              <w:rPr>
                <w:rFonts w:hint="eastAsia" w:ascii="仿宋" w:hAnsi="仿宋" w:eastAsia="仿宋"/>
                <w:b/>
                <w:sz w:val="22"/>
                <w:szCs w:val="21"/>
              </w:rPr>
              <w:t>法人授权委托书</w:t>
            </w:r>
            <w:r>
              <w:rPr>
                <w:rFonts w:hint="eastAsia" w:ascii="仿宋" w:hAnsi="仿宋" w:eastAsia="仿宋" w:cs="宋体"/>
                <w:b/>
                <w:bCs/>
                <w:kern w:val="0"/>
                <w:sz w:val="22"/>
                <w:szCs w:val="21"/>
              </w:rPr>
              <w:t>格式见附件</w:t>
            </w:r>
            <w:r>
              <w:rPr>
                <w:rFonts w:hint="eastAsia" w:ascii="仿宋" w:hAnsi="仿宋" w:eastAsia="仿宋" w:cs="宋体"/>
                <w:b/>
                <w:bCs/>
                <w:kern w:val="0"/>
                <w:sz w:val="22"/>
                <w:szCs w:val="21"/>
                <w:lang w:val="en-US" w:eastAsia="zh-CN"/>
              </w:rPr>
              <w:t>3</w:t>
            </w:r>
          </w:p>
          <w:p>
            <w:pPr>
              <w:jc w:val="left"/>
              <w:rPr>
                <w:rFonts w:ascii="仿宋" w:hAnsi="仿宋" w:eastAsia="仿宋"/>
                <w:b/>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4</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反商业贿赂承诺书</w:t>
            </w:r>
          </w:p>
        </w:tc>
        <w:tc>
          <w:tcPr>
            <w:tcW w:w="5587" w:type="dxa"/>
            <w:noWrap w:val="0"/>
            <w:vAlign w:val="center"/>
          </w:tcPr>
          <w:p>
            <w:pPr>
              <w:jc w:val="left"/>
              <w:rPr>
                <w:rFonts w:hint="eastAsia" w:ascii="仿宋" w:hAnsi="仿宋" w:eastAsia="仿宋"/>
                <w:b/>
                <w:sz w:val="22"/>
                <w:szCs w:val="21"/>
                <w:lang w:val="en-US" w:eastAsia="zh-CN"/>
              </w:rPr>
            </w:pPr>
            <w:r>
              <w:rPr>
                <w:rFonts w:hint="eastAsia" w:ascii="仿宋" w:hAnsi="仿宋" w:eastAsia="仿宋"/>
                <w:b/>
                <w:sz w:val="22"/>
                <w:szCs w:val="21"/>
              </w:rPr>
              <w:t>格式见附件</w:t>
            </w:r>
            <w:r>
              <w:rPr>
                <w:rFonts w:hint="eastAsia" w:ascii="仿宋" w:hAnsi="仿宋" w:eastAsia="仿宋"/>
                <w:b/>
                <w:sz w:val="22"/>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eastAsia="zh-CN"/>
              </w:rPr>
            </w:pPr>
            <w:r>
              <w:rPr>
                <w:rFonts w:hint="eastAsia" w:ascii="仿宋" w:hAnsi="仿宋" w:eastAsia="仿宋"/>
                <w:b/>
                <w:sz w:val="22"/>
                <w:szCs w:val="18"/>
                <w:lang w:val="en-US" w:eastAsia="zh-CN"/>
              </w:rPr>
              <w:t>5</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lang w:eastAsia="zh-CN"/>
              </w:rPr>
            </w:pPr>
            <w:r>
              <w:rPr>
                <w:rFonts w:hint="eastAsia" w:ascii="仿宋" w:hAnsi="仿宋" w:eastAsia="仿宋"/>
                <w:b/>
                <w:sz w:val="22"/>
                <w:szCs w:val="21"/>
                <w:lang w:eastAsia="zh-CN"/>
              </w:rPr>
              <w:t>公司资质信息</w:t>
            </w:r>
          </w:p>
        </w:tc>
        <w:tc>
          <w:tcPr>
            <w:tcW w:w="5587" w:type="dxa"/>
            <w:tcBorders>
              <w:top w:val="single" w:color="auto" w:sz="4" w:space="0"/>
              <w:bottom w:val="single" w:color="auto" w:sz="4" w:space="0"/>
            </w:tcBorders>
            <w:noWrap w:val="0"/>
            <w:vAlign w:val="center"/>
          </w:tcPr>
          <w:p>
            <w:pPr>
              <w:jc w:val="center"/>
              <w:rPr>
                <w:rFonts w:hint="eastAsia" w:ascii="仿宋" w:hAnsi="仿宋" w:eastAsia="仿宋" w:cs="宋体"/>
                <w:b/>
                <w:bCs/>
                <w:kern w:val="0"/>
                <w:sz w:val="22"/>
                <w:szCs w:val="21"/>
                <w:lang w:eastAsia="zh-CN"/>
              </w:rPr>
            </w:pPr>
            <w:r>
              <w:rPr>
                <w:rFonts w:hint="eastAsia" w:ascii="仿宋" w:hAnsi="仿宋" w:eastAsia="仿宋" w:cs="宋体"/>
                <w:b/>
                <w:bCs/>
                <w:kern w:val="0"/>
                <w:sz w:val="22"/>
                <w:szCs w:val="21"/>
                <w:lang w:eastAsia="zh-CN"/>
              </w:rPr>
              <w:t>营业执照、人员资质等相关信息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noWrap w:val="0"/>
            <w:vAlign w:val="center"/>
          </w:tcPr>
          <w:p>
            <w:pPr>
              <w:jc w:val="center"/>
              <w:rPr>
                <w:rFonts w:hint="eastAsia" w:ascii="仿宋" w:hAnsi="仿宋" w:eastAsia="仿宋"/>
                <w:b/>
                <w:sz w:val="22"/>
                <w:szCs w:val="18"/>
                <w:lang w:val="en-US" w:eastAsia="zh-CN"/>
              </w:rPr>
            </w:pPr>
            <w:r>
              <w:rPr>
                <w:rFonts w:hint="eastAsia" w:ascii="仿宋" w:hAnsi="仿宋" w:eastAsia="仿宋"/>
                <w:b/>
                <w:sz w:val="22"/>
                <w:szCs w:val="18"/>
                <w:lang w:val="en-US" w:eastAsia="zh-CN"/>
              </w:rPr>
              <w:t>6</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lang w:eastAsia="zh-CN"/>
              </w:rPr>
            </w:pPr>
            <w:r>
              <w:rPr>
                <w:rFonts w:hint="eastAsia" w:ascii="仿宋" w:hAnsi="仿宋" w:eastAsia="仿宋"/>
                <w:b/>
                <w:sz w:val="22"/>
                <w:szCs w:val="21"/>
                <w:lang w:eastAsia="zh-CN"/>
              </w:rPr>
              <w:t>设计方案</w:t>
            </w:r>
          </w:p>
        </w:tc>
        <w:tc>
          <w:tcPr>
            <w:tcW w:w="5587" w:type="dxa"/>
            <w:tcBorders>
              <w:top w:val="single" w:color="auto" w:sz="4" w:space="0"/>
              <w:bottom w:val="single" w:color="auto" w:sz="4" w:space="0"/>
            </w:tcBorders>
            <w:noWrap w:val="0"/>
            <w:vAlign w:val="center"/>
          </w:tcPr>
          <w:p>
            <w:pPr>
              <w:rPr>
                <w:rFonts w:hint="eastAsia" w:ascii="仿宋" w:hAnsi="仿宋" w:eastAsia="仿宋" w:cs="宋体"/>
                <w:b/>
                <w:bCs/>
                <w:kern w:val="0"/>
                <w:sz w:val="22"/>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3" w:hRule="exact"/>
          <w:jc w:val="center"/>
        </w:trPr>
        <w:tc>
          <w:tcPr>
            <w:tcW w:w="659" w:type="dxa"/>
            <w:tcBorders>
              <w:top w:val="single" w:color="auto" w:sz="4" w:space="0"/>
              <w:bottom w:val="single" w:color="auto" w:sz="4" w:space="0"/>
            </w:tcBorders>
            <w:noWrap w:val="0"/>
            <w:vAlign w:val="center"/>
          </w:tcPr>
          <w:p>
            <w:pPr>
              <w:jc w:val="center"/>
              <w:rPr>
                <w:rFonts w:hint="eastAsia" w:ascii="仿宋" w:hAnsi="仿宋" w:eastAsia="仿宋"/>
                <w:b/>
                <w:sz w:val="22"/>
                <w:szCs w:val="18"/>
                <w:lang w:val="en-US" w:eastAsia="zh-CN"/>
              </w:rPr>
            </w:pPr>
            <w:r>
              <w:rPr>
                <w:rFonts w:hint="eastAsia" w:ascii="仿宋" w:hAnsi="仿宋" w:eastAsia="仿宋"/>
                <w:b/>
                <w:sz w:val="22"/>
                <w:szCs w:val="18"/>
                <w:lang w:val="en-US" w:eastAsia="zh-CN"/>
              </w:rPr>
              <w:t>7</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lang w:eastAsia="zh-CN"/>
              </w:rPr>
            </w:pPr>
            <w:r>
              <w:rPr>
                <w:rFonts w:hint="eastAsia" w:ascii="仿宋" w:hAnsi="仿宋" w:eastAsia="仿宋"/>
                <w:b/>
                <w:sz w:val="22"/>
                <w:szCs w:val="21"/>
                <w:lang w:eastAsia="zh-CN"/>
              </w:rPr>
              <w:t>服务方案</w:t>
            </w:r>
          </w:p>
        </w:tc>
        <w:tc>
          <w:tcPr>
            <w:tcW w:w="5587" w:type="dxa"/>
            <w:tcBorders>
              <w:top w:val="single" w:color="auto" w:sz="4" w:space="0"/>
              <w:bottom w:val="single" w:color="auto" w:sz="4" w:space="0"/>
            </w:tcBorders>
            <w:noWrap w:val="0"/>
            <w:vAlign w:val="center"/>
          </w:tcPr>
          <w:p>
            <w:pPr>
              <w:rPr>
                <w:rFonts w:hint="eastAsia" w:ascii="仿宋" w:hAnsi="仿宋" w:eastAsia="仿宋" w:cs="宋体"/>
                <w:b/>
                <w:bCs/>
                <w:kern w:val="0"/>
                <w:sz w:val="22"/>
                <w:szCs w:val="21"/>
                <w:lang w:eastAsia="zh-CN"/>
              </w:rPr>
            </w:pPr>
            <w:r>
              <w:rPr>
                <w:rFonts w:hint="eastAsia" w:ascii="仿宋" w:hAnsi="仿宋" w:eastAsia="仿宋" w:cs="宋体"/>
                <w:b/>
                <w:bCs/>
                <w:kern w:val="0"/>
                <w:sz w:val="22"/>
                <w:szCs w:val="21"/>
                <w:lang w:eastAsia="zh-CN"/>
              </w:rPr>
              <w:t>包含工期、售后等相关服务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3"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rPr>
            </w:pPr>
            <w:r>
              <w:rPr>
                <w:rFonts w:hint="eastAsia" w:ascii="仿宋" w:hAnsi="仿宋" w:eastAsia="仿宋"/>
                <w:b/>
                <w:sz w:val="22"/>
                <w:szCs w:val="18"/>
                <w:lang w:val="en-US" w:eastAsia="zh-CN"/>
              </w:rPr>
              <w:t>8</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rPr>
            </w:pPr>
            <w:r>
              <w:rPr>
                <w:rFonts w:hint="eastAsia" w:ascii="仿宋" w:hAnsi="仿宋" w:eastAsia="仿宋"/>
                <w:b/>
                <w:sz w:val="22"/>
                <w:szCs w:val="21"/>
              </w:rPr>
              <w:t>近期与其他单位签订的购销合同、发票、中标通知书。</w:t>
            </w:r>
          </w:p>
        </w:tc>
        <w:tc>
          <w:tcPr>
            <w:tcW w:w="5587" w:type="dxa"/>
            <w:tcBorders>
              <w:top w:val="single" w:color="auto" w:sz="4" w:space="0"/>
              <w:bottom w:val="single" w:color="auto" w:sz="4" w:space="0"/>
            </w:tcBorders>
            <w:noWrap w:val="0"/>
            <w:vAlign w:val="center"/>
          </w:tcPr>
          <w:p>
            <w:pPr>
              <w:rPr>
                <w:rFonts w:hint="eastAsia" w:ascii="仿宋" w:hAnsi="仿宋" w:eastAsia="仿宋" w:cs="宋体"/>
                <w:b/>
                <w:bCs/>
                <w:kern w:val="0"/>
                <w:sz w:val="22"/>
                <w:szCs w:val="21"/>
                <w:lang w:eastAsia="zh-CN"/>
              </w:rPr>
            </w:pPr>
            <w:r>
              <w:rPr>
                <w:rFonts w:hint="eastAsia" w:ascii="仿宋" w:hAnsi="仿宋" w:eastAsia="仿宋" w:cs="宋体"/>
                <w:b/>
                <w:bCs/>
                <w:kern w:val="0"/>
                <w:sz w:val="22"/>
                <w:szCs w:val="21"/>
                <w:lang w:eastAsia="zh-CN"/>
              </w:rPr>
              <w:t>需提供三份合同或中标通知书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rPr>
            </w:pPr>
            <w:r>
              <w:rPr>
                <w:rFonts w:hint="eastAsia" w:ascii="仿宋" w:hAnsi="仿宋" w:eastAsia="仿宋"/>
                <w:b/>
                <w:sz w:val="22"/>
                <w:szCs w:val="18"/>
                <w:lang w:val="en-US" w:eastAsia="zh-CN"/>
              </w:rPr>
              <w:t>9</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rPr>
            </w:pPr>
            <w:r>
              <w:rPr>
                <w:rFonts w:hint="eastAsia" w:ascii="仿宋" w:hAnsi="仿宋" w:eastAsia="仿宋"/>
                <w:b/>
                <w:sz w:val="22"/>
                <w:szCs w:val="21"/>
                <w:lang w:eastAsia="zh-CN"/>
              </w:rPr>
              <w:t>响应人</w:t>
            </w:r>
            <w:r>
              <w:rPr>
                <w:rFonts w:hint="eastAsia" w:ascii="仿宋" w:hAnsi="仿宋" w:eastAsia="仿宋"/>
                <w:b/>
                <w:sz w:val="22"/>
                <w:szCs w:val="21"/>
              </w:rPr>
              <w:t>认为应递交的其它材料</w:t>
            </w:r>
          </w:p>
        </w:tc>
        <w:tc>
          <w:tcPr>
            <w:tcW w:w="5587" w:type="dxa"/>
            <w:tcBorders>
              <w:top w:val="single" w:color="auto" w:sz="4" w:space="0"/>
              <w:bottom w:val="single" w:color="auto" w:sz="4" w:space="0"/>
            </w:tcBorders>
            <w:noWrap w:val="0"/>
            <w:vAlign w:val="center"/>
          </w:tcPr>
          <w:p>
            <w:pPr>
              <w:jc w:val="center"/>
              <w:rPr>
                <w:rFonts w:ascii="仿宋" w:hAnsi="仿宋" w:eastAsia="仿宋" w:cs="宋体"/>
                <w:b/>
                <w:bCs/>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54146"/>
      <w:bookmarkStart w:id="2" w:name="_Toc337554724"/>
      <w:bookmarkStart w:id="3" w:name="_Toc258360158"/>
      <w:bookmarkStart w:id="4" w:name="_Toc15313"/>
      <w:bookmarkStart w:id="5" w:name="_Toc304219257"/>
      <w:bookmarkStart w:id="6" w:name="_Toc248896063"/>
      <w:bookmarkStart w:id="7" w:name="_Toc17030"/>
      <w:bookmarkStart w:id="8" w:name="_Toc219626747"/>
      <w:bookmarkStart w:id="9" w:name="_Toc258333636"/>
      <w:bookmarkStart w:id="10" w:name="_Toc9548"/>
      <w:bookmarkStart w:id="11" w:name="_Toc261708863"/>
      <w:bookmarkStart w:id="12" w:name="_Toc320878640"/>
      <w:bookmarkStart w:id="13" w:name="_Toc258360269"/>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226B62A0"/>
    <w:multiLevelType w:val="singleLevel"/>
    <w:tmpl w:val="226B62A0"/>
    <w:lvl w:ilvl="0" w:tentative="0">
      <w:start w:val="2"/>
      <w:numFmt w:val="chineseCounting"/>
      <w:suff w:val="nothing"/>
      <w:lvlText w:val="%1、"/>
      <w:lvlJc w:val="left"/>
      <w:rPr>
        <w:rFonts w:hint="eastAsia"/>
      </w:rPr>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E577C4A"/>
    <w:multiLevelType w:val="singleLevel"/>
    <w:tmpl w:val="3E577C4A"/>
    <w:lvl w:ilvl="0" w:tentative="0">
      <w:start w:val="2"/>
      <w:numFmt w:val="decimal"/>
      <w:suff w:val="nothing"/>
      <w:lvlText w:val="%1、"/>
      <w:lvlJc w:val="left"/>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7"/>
  </w:num>
  <w:num w:numId="3">
    <w:abstractNumId w:val="2"/>
  </w:num>
  <w:num w:numId="4">
    <w:abstractNumId w:val="1"/>
  </w:num>
  <w:num w:numId="5">
    <w:abstractNumId w:val="6"/>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2F46C9"/>
    <w:rsid w:val="08492771"/>
    <w:rsid w:val="08B25A56"/>
    <w:rsid w:val="091E4C98"/>
    <w:rsid w:val="09984B6B"/>
    <w:rsid w:val="0B9D1095"/>
    <w:rsid w:val="0CE95F36"/>
    <w:rsid w:val="0CFB4C25"/>
    <w:rsid w:val="0E9016D0"/>
    <w:rsid w:val="0E93621F"/>
    <w:rsid w:val="111B0067"/>
    <w:rsid w:val="114C35D9"/>
    <w:rsid w:val="11C31BE9"/>
    <w:rsid w:val="12A11F66"/>
    <w:rsid w:val="14682D8B"/>
    <w:rsid w:val="16A35C46"/>
    <w:rsid w:val="17D81E85"/>
    <w:rsid w:val="188744A6"/>
    <w:rsid w:val="1965314B"/>
    <w:rsid w:val="1C900C49"/>
    <w:rsid w:val="1D995826"/>
    <w:rsid w:val="1E4C6245"/>
    <w:rsid w:val="245F44FD"/>
    <w:rsid w:val="246624B2"/>
    <w:rsid w:val="24DF7354"/>
    <w:rsid w:val="24FE3AD7"/>
    <w:rsid w:val="25E13CF1"/>
    <w:rsid w:val="2643733F"/>
    <w:rsid w:val="264A511E"/>
    <w:rsid w:val="278100C0"/>
    <w:rsid w:val="288B4898"/>
    <w:rsid w:val="2A7E0BB7"/>
    <w:rsid w:val="2A9A308D"/>
    <w:rsid w:val="2B0A7B44"/>
    <w:rsid w:val="2F632DBF"/>
    <w:rsid w:val="30217C48"/>
    <w:rsid w:val="31827FC3"/>
    <w:rsid w:val="33F956F6"/>
    <w:rsid w:val="384A7AD5"/>
    <w:rsid w:val="3A8D2D05"/>
    <w:rsid w:val="3B2A4846"/>
    <w:rsid w:val="3B5373B6"/>
    <w:rsid w:val="3EDC78BB"/>
    <w:rsid w:val="44B67130"/>
    <w:rsid w:val="44D5542C"/>
    <w:rsid w:val="4656733B"/>
    <w:rsid w:val="486D7AF7"/>
    <w:rsid w:val="494804BB"/>
    <w:rsid w:val="4B4638AD"/>
    <w:rsid w:val="4B9C1C97"/>
    <w:rsid w:val="4BC500AA"/>
    <w:rsid w:val="4C6C1786"/>
    <w:rsid w:val="4FCE5CD6"/>
    <w:rsid w:val="53501B3C"/>
    <w:rsid w:val="550B217C"/>
    <w:rsid w:val="563E288F"/>
    <w:rsid w:val="57162389"/>
    <w:rsid w:val="57575861"/>
    <w:rsid w:val="5AD50E25"/>
    <w:rsid w:val="5BAC6C71"/>
    <w:rsid w:val="5D4D3632"/>
    <w:rsid w:val="615523A0"/>
    <w:rsid w:val="649D2897"/>
    <w:rsid w:val="64E26821"/>
    <w:rsid w:val="65207F71"/>
    <w:rsid w:val="66016CC0"/>
    <w:rsid w:val="67BB5E4F"/>
    <w:rsid w:val="695C7637"/>
    <w:rsid w:val="6A67750E"/>
    <w:rsid w:val="6CD8518D"/>
    <w:rsid w:val="6ECA7999"/>
    <w:rsid w:val="6F8E4227"/>
    <w:rsid w:val="738608DB"/>
    <w:rsid w:val="745F5922"/>
    <w:rsid w:val="750A6859"/>
    <w:rsid w:val="78481C82"/>
    <w:rsid w:val="78BC0632"/>
    <w:rsid w:val="78BE0AF1"/>
    <w:rsid w:val="792701E6"/>
    <w:rsid w:val="798E357B"/>
    <w:rsid w:val="7A16624F"/>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2020-03-09T09:54:00Z</cp:lastPrinted>
  <dcterms:modified xsi:type="dcterms:W3CDTF">2020-07-15T01:05:38Z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