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高风险质控设备检测服务</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高风险质控设备检测服务</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高风险质控设备检测服务</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433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序号</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检测设备</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1</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医用多数参数监护仪</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2</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医用注射泵/输液泵</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3</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心脏除颤器</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4</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高频电刀</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5</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呼吸机</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6</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血液透析机</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noWrap w:val="0"/>
            <w:vAlign w:val="top"/>
          </w:tcPr>
          <w:p>
            <w:pPr>
              <w:pStyle w:val="2"/>
              <w:jc w:val="center"/>
              <w:rPr>
                <w:rFonts w:hint="default"/>
                <w:vertAlign w:val="baseline"/>
                <w:lang w:val="en-US" w:eastAsia="zh-CN"/>
              </w:rPr>
            </w:pPr>
            <w:r>
              <w:rPr>
                <w:rFonts w:hint="eastAsia"/>
                <w:vertAlign w:val="baseline"/>
                <w:lang w:val="en-US" w:eastAsia="zh-CN"/>
              </w:rPr>
              <w:t>7</w:t>
            </w:r>
          </w:p>
        </w:tc>
        <w:tc>
          <w:tcPr>
            <w:tcW w:w="4330" w:type="dxa"/>
            <w:noWrap w:val="0"/>
            <w:vAlign w:val="top"/>
          </w:tcPr>
          <w:p>
            <w:pPr>
              <w:pStyle w:val="2"/>
              <w:jc w:val="center"/>
              <w:rPr>
                <w:rFonts w:hint="default"/>
                <w:vertAlign w:val="baseline"/>
                <w:lang w:val="en-US" w:eastAsia="zh-CN"/>
              </w:rPr>
            </w:pPr>
            <w:r>
              <w:rPr>
                <w:rFonts w:hint="eastAsia"/>
                <w:vertAlign w:val="baseline"/>
                <w:lang w:val="en-US" w:eastAsia="zh-CN"/>
              </w:rPr>
              <w:t>麻醉机</w:t>
            </w:r>
          </w:p>
        </w:tc>
        <w:tc>
          <w:tcPr>
            <w:tcW w:w="2841" w:type="dxa"/>
            <w:noWrap w:val="0"/>
            <w:vAlign w:val="top"/>
          </w:tcPr>
          <w:p>
            <w:pPr>
              <w:pStyle w:val="2"/>
              <w:jc w:val="center"/>
              <w:rPr>
                <w:rFonts w:hint="default"/>
                <w:vertAlign w:val="baseline"/>
                <w:lang w:val="en-US" w:eastAsia="zh-CN"/>
              </w:rPr>
            </w:pPr>
            <w:r>
              <w:rPr>
                <w:rFonts w:hint="eastAsia"/>
                <w:vertAlign w:val="baseline"/>
                <w:lang w:val="en-US" w:eastAsia="zh-CN"/>
              </w:rPr>
              <w:t>14</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1、供应商在中国境内注册、具有合法的经营资格，营业范围内包含设备质控检测业务。具备承担采购项目的能力；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2、供应商用于质控检测的设备具有有效期内的国家规范规程要求的校准证书；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3、供应商每个质控项目具有2名以上具有培训合格证明的检测人员；</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4、供应商不得有商业贿赂和不正当欺诈行为。如供应商被证实有以上行为，将被视为不合格；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5、供应商经营行为必须符合国家法律、法规和有关规定。</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设备校准证书原件，员工质控项目培训合格证明（两名以上）</w:t>
      </w:r>
      <w:r>
        <w:rPr>
          <w:rFonts w:hint="eastAsia" w:ascii="仿宋_GB2312" w:eastAsia="仿宋_GB2312"/>
          <w:color w:val="FF0000"/>
          <w:sz w:val="32"/>
          <w:szCs w:val="32"/>
        </w:rPr>
        <w:t>。</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rPr>
          <w:rFonts w:hint="eastAsia"/>
          <w:lang w:eastAsia="zh-CN"/>
        </w:rPr>
      </w:pPr>
    </w:p>
    <w:p>
      <w:pPr>
        <w:pStyle w:val="2"/>
        <w:rPr>
          <w:rFonts w:hint="eastAsia"/>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根据设备的校准实力在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w:t>
            </w:r>
            <w:bookmarkStart w:id="15" w:name="_GoBack"/>
            <w:bookmarkEnd w:id="15"/>
            <w:r>
              <w:rPr>
                <w:rFonts w:hint="eastAsia" w:ascii="仿宋" w:hAnsi="仿宋" w:eastAsia="仿宋"/>
                <w:b/>
                <w:color w:val="C00000"/>
                <w:sz w:val="22"/>
                <w:szCs w:val="21"/>
                <w:lang w:eastAsia="zh-CN"/>
              </w:rPr>
              <w:t>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258333636"/>
      <w:bookmarkStart w:id="5" w:name="_Toc261708863"/>
      <w:bookmarkStart w:id="6" w:name="_Toc9548"/>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F956F6"/>
    <w:rsid w:val="384A7AD5"/>
    <w:rsid w:val="3B2A4846"/>
    <w:rsid w:val="3B5373B6"/>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29</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2020-07-10T06:52:43Z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