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团建墙设计及安装项目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团建墙设计及安装项目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团建墙设计及安装项目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rPr>
          <w:rFonts w:hint="eastAsia"/>
          <w:sz w:val="32"/>
          <w:szCs w:val="32"/>
          <w:lang w:val="en-US" w:eastAsia="zh-CN"/>
        </w:rPr>
      </w:pPr>
      <w:r>
        <w:rPr>
          <w:rFonts w:hint="eastAsia" w:ascii="黑体" w:eastAsia="黑体"/>
          <w:sz w:val="32"/>
          <w:szCs w:val="32"/>
          <w:lang w:eastAsia="zh-CN"/>
        </w:rPr>
        <w:t>项目要求：</w:t>
      </w:r>
      <w:r>
        <w:rPr>
          <w:rFonts w:hint="eastAsia"/>
          <w:sz w:val="32"/>
          <w:szCs w:val="32"/>
          <w:lang w:val="en-US" w:eastAsia="zh-CN"/>
        </w:rPr>
        <w:t>总面积：75.2㎡</w:t>
      </w:r>
    </w:p>
    <w:p>
      <w:pPr>
        <w:numPr>
          <w:ilvl w:val="0"/>
          <w:numId w:val="0"/>
        </w:numPr>
        <w:rPr>
          <w:rFonts w:hint="default"/>
          <w:sz w:val="32"/>
          <w:szCs w:val="32"/>
          <w:lang w:val="en-US" w:eastAsia="zh-CN"/>
        </w:rPr>
      </w:pPr>
      <w:r>
        <w:rPr>
          <w:rFonts w:hint="eastAsia"/>
          <w:sz w:val="32"/>
          <w:szCs w:val="32"/>
          <w:lang w:val="en-US" w:eastAsia="zh-CN"/>
        </w:rPr>
        <w:t>材质10mmPVC+6mm亚克力+3mm厚亚克力</w:t>
      </w:r>
    </w:p>
    <w:p>
      <w:pPr>
        <w:numPr>
          <w:ilvl w:val="0"/>
          <w:numId w:val="0"/>
        </w:numPr>
        <w:rPr>
          <w:rFonts w:hint="default" w:ascii="仿宋_GB2312" w:hAnsi="仿宋_GB2312" w:eastAsia="仿宋_GB2312" w:cs="仿宋_GB2312"/>
          <w:color w:val="000000"/>
          <w:sz w:val="32"/>
          <w:szCs w:val="32"/>
          <w:lang w:val="en-US" w:eastAsia="zh-CN"/>
        </w:rPr>
      </w:pPr>
      <w:r>
        <w:rPr>
          <w:rFonts w:hint="eastAsia"/>
          <w:sz w:val="32"/>
          <w:szCs w:val="32"/>
          <w:lang w:val="en-US" w:eastAsia="zh-CN"/>
        </w:rPr>
        <w:t>共设置七个板块：</w:t>
      </w:r>
      <w:r>
        <w:rPr>
          <w:rFonts w:hint="default"/>
          <w:sz w:val="32"/>
          <w:szCs w:val="32"/>
          <w:lang w:val="en-US" w:eastAsia="zh-CN"/>
        </w:rPr>
        <w:t>中国共产主义青年团形象墙</w:t>
      </w:r>
      <w:r>
        <w:rPr>
          <w:rFonts w:hint="eastAsia"/>
          <w:sz w:val="32"/>
          <w:szCs w:val="32"/>
          <w:lang w:val="en-US" w:eastAsia="zh-CN"/>
        </w:rPr>
        <w:t>、</w:t>
      </w:r>
      <w:r>
        <w:rPr>
          <w:rFonts w:hint="default"/>
          <w:sz w:val="32"/>
          <w:szCs w:val="32"/>
          <w:lang w:val="en-US" w:eastAsia="zh-CN"/>
        </w:rPr>
        <w:t>团建制度文化墙</w:t>
      </w:r>
      <w:r>
        <w:rPr>
          <w:rFonts w:hint="eastAsia"/>
          <w:sz w:val="32"/>
          <w:szCs w:val="32"/>
          <w:lang w:val="en-US" w:eastAsia="zh-CN"/>
        </w:rPr>
        <w:t>、</w:t>
      </w:r>
      <w:r>
        <w:rPr>
          <w:rFonts w:hint="default"/>
          <w:sz w:val="32"/>
          <w:szCs w:val="32"/>
          <w:lang w:val="en-US" w:eastAsia="zh-CN"/>
        </w:rPr>
        <w:t>习总书记寄语青年文化墙</w:t>
      </w:r>
      <w:r>
        <w:rPr>
          <w:rFonts w:hint="eastAsia"/>
          <w:sz w:val="32"/>
          <w:szCs w:val="32"/>
          <w:lang w:val="en-US" w:eastAsia="zh-CN"/>
        </w:rPr>
        <w:t>、</w:t>
      </w:r>
      <w:r>
        <w:rPr>
          <w:rFonts w:hint="default"/>
          <w:sz w:val="32"/>
          <w:szCs w:val="32"/>
          <w:lang w:val="en-US" w:eastAsia="zh-CN"/>
        </w:rPr>
        <w:t>珍惜韶华方能不负青春文化墙</w:t>
      </w:r>
      <w:r>
        <w:rPr>
          <w:rFonts w:hint="eastAsia"/>
          <w:sz w:val="32"/>
          <w:szCs w:val="32"/>
          <w:lang w:val="en-US" w:eastAsia="zh-CN"/>
        </w:rPr>
        <w:t>、团</w:t>
      </w:r>
      <w:r>
        <w:rPr>
          <w:rFonts w:hint="default"/>
          <w:sz w:val="32"/>
          <w:szCs w:val="32"/>
          <w:lang w:val="en-US" w:eastAsia="zh-CN"/>
        </w:rPr>
        <w:t>建活动文化墙</w:t>
      </w:r>
      <w:r>
        <w:rPr>
          <w:rFonts w:hint="eastAsia"/>
          <w:sz w:val="32"/>
          <w:szCs w:val="32"/>
          <w:lang w:val="en-US" w:eastAsia="zh-CN"/>
        </w:rPr>
        <w:t>、</w:t>
      </w:r>
      <w:r>
        <w:rPr>
          <w:rFonts w:hint="default"/>
          <w:sz w:val="32"/>
          <w:szCs w:val="32"/>
          <w:lang w:val="en-US" w:eastAsia="zh-CN"/>
        </w:rPr>
        <w:t>到人民群众中去到新时代新天地中去文化墙</w:t>
      </w:r>
      <w:r>
        <w:rPr>
          <w:rFonts w:hint="eastAsia"/>
          <w:sz w:val="32"/>
          <w:szCs w:val="32"/>
          <w:lang w:val="en-US" w:eastAsia="zh-CN"/>
        </w:rPr>
        <w:t>、</w:t>
      </w:r>
      <w:r>
        <w:rPr>
          <w:rFonts w:hint="default"/>
          <w:sz w:val="32"/>
          <w:szCs w:val="32"/>
          <w:lang w:val="en-US" w:eastAsia="zh-CN"/>
        </w:rPr>
        <w:t>志愿服务风采文化墙</w:t>
      </w:r>
      <w:r>
        <w:rPr>
          <w:rFonts w:hint="eastAsia"/>
          <w:sz w:val="32"/>
          <w:szCs w:val="32"/>
          <w:lang w:val="en-US" w:eastAsia="zh-CN"/>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40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40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eastAsia="zh-CN"/>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40</w:t>
      </w:r>
    </w:p>
    <w:p>
      <w:pPr>
        <w:pStyle w:val="2"/>
        <w:numPr>
          <w:ilvl w:val="0"/>
          <w:numId w:val="8"/>
        </w:numPr>
        <w:ind w:firstLine="480" w:firstLineChars="200"/>
        <w:rPr>
          <w:rFonts w:hint="eastAsia" w:ascii="宋体" w:hAnsi="宋体"/>
          <w:bCs/>
          <w:sz w:val="24"/>
          <w:lang w:val="en-US" w:eastAsia="zh-CN"/>
        </w:rPr>
      </w:pPr>
      <w:r>
        <w:rPr>
          <w:rFonts w:hint="eastAsia" w:ascii="宋体" w:hAnsi="宋体"/>
          <w:bCs/>
          <w:sz w:val="24"/>
          <w:lang w:val="en-US" w:eastAsia="zh-CN"/>
        </w:rPr>
        <w:t>产品设计及质量（30分）</w:t>
      </w:r>
    </w:p>
    <w:p>
      <w:pPr>
        <w:pStyle w:val="2"/>
        <w:numPr>
          <w:numId w:val="0"/>
        </w:numPr>
        <w:ind w:left="240" w:leftChars="0" w:firstLine="480" w:firstLineChars="200"/>
        <w:rPr>
          <w:rFonts w:hint="eastAsia" w:ascii="宋体" w:hAnsi="宋体"/>
          <w:bCs/>
          <w:sz w:val="24"/>
          <w:lang w:val="en-US" w:eastAsia="zh-CN"/>
        </w:rPr>
      </w:pPr>
      <w:r>
        <w:rPr>
          <w:rFonts w:hint="eastAsia" w:ascii="宋体" w:hAnsi="宋体"/>
          <w:bCs/>
          <w:sz w:val="24"/>
          <w:lang w:val="en-US" w:eastAsia="zh-CN"/>
        </w:rPr>
        <w:t>根据响应人提供的设计样稿，针对款式、颜色、制造工艺在0-30分范围内进行打分</w:t>
      </w:r>
    </w:p>
    <w:p>
      <w:pPr>
        <w:pStyle w:val="2"/>
        <w:numPr>
          <w:ilvl w:val="0"/>
          <w:numId w:val="8"/>
        </w:numPr>
        <w:ind w:left="0" w:leftChars="0" w:firstLine="480" w:firstLineChars="200"/>
        <w:rPr>
          <w:rFonts w:hint="eastAsia" w:ascii="宋体" w:hAnsi="宋体"/>
          <w:bCs/>
          <w:sz w:val="24"/>
          <w:lang w:val="en-US" w:eastAsia="zh-CN"/>
        </w:rPr>
      </w:pPr>
      <w:r>
        <w:rPr>
          <w:rFonts w:hint="eastAsia" w:ascii="宋体" w:hAnsi="宋体"/>
          <w:bCs/>
          <w:sz w:val="24"/>
          <w:lang w:val="en-US" w:eastAsia="zh-CN"/>
        </w:rPr>
        <w:t>响应速度（30分）</w:t>
      </w:r>
    </w:p>
    <w:p>
      <w:pPr>
        <w:pStyle w:val="2"/>
        <w:numPr>
          <w:numId w:val="0"/>
        </w:numPr>
        <w:ind w:leftChars="200"/>
        <w:rPr>
          <w:rFonts w:hint="eastAsia" w:ascii="宋体" w:hAnsi="宋体"/>
          <w:bCs/>
          <w:sz w:val="24"/>
          <w:lang w:val="en-US" w:eastAsia="zh-CN"/>
        </w:rPr>
      </w:pPr>
      <w:r>
        <w:rPr>
          <w:rFonts w:hint="eastAsia" w:ascii="宋体" w:hAnsi="宋体"/>
          <w:bCs/>
          <w:sz w:val="24"/>
          <w:lang w:val="en-US" w:eastAsia="zh-CN"/>
        </w:rPr>
        <w:t xml:space="preserve">   根据工期的长短在0-30分范围内进行打分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四</w:t>
      </w:r>
      <w:r>
        <w:rPr>
          <w:rFonts w:hint="eastAsia" w:ascii="宋体" w:hAnsi="宋体"/>
          <w:b/>
          <w:color w:val="000000" w:themeColor="text1"/>
          <w:sz w:val="24"/>
          <w14:textFill>
            <w14:solidFill>
              <w14:schemeClr w14:val="tx1"/>
            </w14:solidFill>
          </w14:textFill>
        </w:rPr>
        <w:t>、得分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w:t>
      </w:r>
      <w:r>
        <w:rPr>
          <w:rFonts w:hint="eastAsia" w:ascii="宋体" w:hAnsi="宋体"/>
          <w:color w:val="000000" w:themeColor="text1"/>
          <w:sz w:val="24"/>
          <w:lang w:eastAsia="zh-CN"/>
          <w14:textFill>
            <w14:solidFill>
              <w14:schemeClr w14:val="tx1"/>
            </w14:solidFill>
          </w14:textFill>
        </w:rPr>
        <w:t>整数</w:t>
      </w:r>
      <w:r>
        <w:rPr>
          <w:rFonts w:hint="eastAsia" w:ascii="宋体" w:hAnsi="宋体"/>
          <w:color w:val="000000" w:themeColor="text1"/>
          <w:sz w:val="24"/>
          <w14:textFill>
            <w14:solidFill>
              <w14:schemeClr w14:val="tx1"/>
            </w14:solidFill>
          </w14:textFill>
        </w:rPr>
        <w:t>，按四舍五入计入。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bookmarkStart w:id="15" w:name="_GoBack"/>
      <w:bookmarkEnd w:id="15"/>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设计稿</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包含工期、售后等相关服务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15313"/>
      <w:bookmarkStart w:id="6" w:name="_Toc304219257"/>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26B62A0"/>
    <w:multiLevelType w:val="singleLevel"/>
    <w:tmpl w:val="226B62A0"/>
    <w:lvl w:ilvl="0" w:tentative="0">
      <w:start w:val="2"/>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2"/>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2F46C9"/>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4D5542C"/>
    <w:rsid w:val="4656733B"/>
    <w:rsid w:val="486D7AF7"/>
    <w:rsid w:val="494804BB"/>
    <w:rsid w:val="4B4638AD"/>
    <w:rsid w:val="4B9C1C97"/>
    <w:rsid w:val="4BC500AA"/>
    <w:rsid w:val="4C6C1786"/>
    <w:rsid w:val="4FCE5CD6"/>
    <w:rsid w:val="53501B3C"/>
    <w:rsid w:val="550B217C"/>
    <w:rsid w:val="563E288F"/>
    <w:rsid w:val="57162389"/>
    <w:rsid w:val="57575861"/>
    <w:rsid w:val="5AD50E25"/>
    <w:rsid w:val="5BAC6C71"/>
    <w:rsid w:val="5D4D3632"/>
    <w:rsid w:val="615523A0"/>
    <w:rsid w:val="649D2897"/>
    <w:rsid w:val="64E26821"/>
    <w:rsid w:val="65207F71"/>
    <w:rsid w:val="66016CC0"/>
    <w:rsid w:val="67BB5E4F"/>
    <w:rsid w:val="695C7637"/>
    <w:rsid w:val="6A67750E"/>
    <w:rsid w:val="6CD8518D"/>
    <w:rsid w:val="6ECA7999"/>
    <w:rsid w:val="6F8E4227"/>
    <w:rsid w:val="738608DB"/>
    <w:rsid w:val="745F5922"/>
    <w:rsid w:val="750A6859"/>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2020-06-16T03:54:51Z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