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新郑市公立人民医院传染病区综合楼项目咨询服务项目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2020年6月30日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val="en-US" w:eastAsia="zh-CN"/>
        </w:rPr>
        <w:t>新郑市公立人民医院传染病区综合楼项目咨询服务项目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新郑市公立人民医院传染病区综合楼项目咨询服务项目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620"/>
        <w:gridCol w:w="2550"/>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pStyle w:val="2"/>
              <w:rPr>
                <w:rFonts w:hint="eastAsia" w:eastAsia="黑体"/>
                <w:vertAlign w:val="baseline"/>
                <w:lang w:val="en-US" w:eastAsia="zh-CN"/>
              </w:rPr>
            </w:pPr>
            <w:r>
              <w:rPr>
                <w:rFonts w:hint="eastAsia" w:ascii="黑体" w:eastAsia="黑体"/>
                <w:sz w:val="32"/>
                <w:szCs w:val="32"/>
                <w:lang w:eastAsia="zh-CN"/>
              </w:rPr>
              <w:t>序号</w:t>
            </w:r>
          </w:p>
        </w:tc>
        <w:tc>
          <w:tcPr>
            <w:tcW w:w="1620" w:type="dxa"/>
          </w:tcPr>
          <w:p>
            <w:pPr>
              <w:pStyle w:val="2"/>
              <w:rPr>
                <w:rFonts w:hint="eastAsia"/>
                <w:vertAlign w:val="baseline"/>
                <w:lang w:val="en-US" w:eastAsia="zh-CN"/>
              </w:rPr>
            </w:pPr>
            <w:r>
              <w:rPr>
                <w:rFonts w:hint="eastAsia"/>
                <w:vertAlign w:val="baseline"/>
                <w:lang w:val="en-US" w:eastAsia="zh-CN"/>
              </w:rPr>
              <w:t>标段划分</w:t>
            </w:r>
          </w:p>
        </w:tc>
        <w:tc>
          <w:tcPr>
            <w:tcW w:w="2550" w:type="dxa"/>
          </w:tcPr>
          <w:p>
            <w:pPr>
              <w:pStyle w:val="2"/>
              <w:jc w:val="center"/>
              <w:rPr>
                <w:rFonts w:hint="eastAsia"/>
                <w:vertAlign w:val="baseline"/>
                <w:lang w:val="en-US" w:eastAsia="zh-CN"/>
              </w:rPr>
            </w:pPr>
            <w:r>
              <w:rPr>
                <w:rFonts w:hint="eastAsia"/>
                <w:vertAlign w:val="baseline"/>
                <w:lang w:val="en-US" w:eastAsia="zh-CN"/>
              </w:rPr>
              <w:t>标段名称</w:t>
            </w:r>
          </w:p>
        </w:tc>
        <w:tc>
          <w:tcPr>
            <w:tcW w:w="3196" w:type="dxa"/>
          </w:tcPr>
          <w:p>
            <w:pPr>
              <w:pStyle w:val="2"/>
              <w:jc w:val="center"/>
              <w:rPr>
                <w:rFonts w:hint="eastAsia"/>
                <w:vertAlign w:val="baseline"/>
                <w:lang w:val="en-US" w:eastAsia="zh-CN"/>
              </w:rPr>
            </w:pPr>
            <w:r>
              <w:rPr>
                <w:rFonts w:hint="eastAsia"/>
                <w:vertAlign w:val="baseline"/>
                <w:lang w:val="en-US" w:eastAsia="zh-CN"/>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56" w:type="dxa"/>
          </w:tcPr>
          <w:p>
            <w:pPr>
              <w:pStyle w:val="2"/>
              <w:jc w:val="center"/>
              <w:rPr>
                <w:rFonts w:hint="eastAsia"/>
                <w:vertAlign w:val="baseline"/>
                <w:lang w:val="en-US" w:eastAsia="zh-CN"/>
              </w:rPr>
            </w:pPr>
            <w:r>
              <w:rPr>
                <w:rFonts w:hint="eastAsia"/>
                <w:vertAlign w:val="baseline"/>
                <w:lang w:val="en-US" w:eastAsia="zh-CN"/>
              </w:rPr>
              <w:t>1</w:t>
            </w:r>
          </w:p>
        </w:tc>
        <w:tc>
          <w:tcPr>
            <w:tcW w:w="1620" w:type="dxa"/>
          </w:tcPr>
          <w:p>
            <w:pPr>
              <w:pStyle w:val="2"/>
              <w:jc w:val="center"/>
              <w:rPr>
                <w:rFonts w:hint="eastAsia"/>
                <w:vertAlign w:val="baseline"/>
                <w:lang w:val="en-US" w:eastAsia="zh-CN"/>
              </w:rPr>
            </w:pPr>
            <w:r>
              <w:rPr>
                <w:rFonts w:hint="eastAsia"/>
                <w:vertAlign w:val="baseline"/>
                <w:lang w:val="en-US" w:eastAsia="zh-CN"/>
              </w:rPr>
              <w:t>标段一</w:t>
            </w:r>
          </w:p>
        </w:tc>
        <w:tc>
          <w:tcPr>
            <w:tcW w:w="2550" w:type="dxa"/>
          </w:tcPr>
          <w:p>
            <w:pPr>
              <w:pStyle w:val="2"/>
              <w:jc w:val="center"/>
              <w:rPr>
                <w:rFonts w:hint="eastAsia"/>
                <w:vertAlign w:val="baseline"/>
                <w:lang w:val="en-US" w:eastAsia="zh-CN"/>
              </w:rPr>
            </w:pPr>
            <w:r>
              <w:rPr>
                <w:rFonts w:hint="eastAsia"/>
                <w:vertAlign w:val="baseline"/>
                <w:lang w:val="en-US" w:eastAsia="zh-CN"/>
              </w:rPr>
              <w:t>项目建议书编制服务</w:t>
            </w:r>
          </w:p>
        </w:tc>
        <w:tc>
          <w:tcPr>
            <w:tcW w:w="3196" w:type="dxa"/>
          </w:tcPr>
          <w:p>
            <w:pPr>
              <w:pStyle w:val="2"/>
              <w:jc w:val="center"/>
              <w:rPr>
                <w:rFonts w:hint="eastAsia"/>
                <w:vertAlign w:val="baseline"/>
                <w:lang w:val="en-US" w:eastAsia="zh-CN"/>
              </w:rPr>
            </w:pPr>
            <w:r>
              <w:rPr>
                <w:rFonts w:hint="eastAsia"/>
                <w:vertAlign w:val="baseline"/>
                <w:lang w:val="en-US" w:eastAsia="zh-CN"/>
              </w:rPr>
              <w:t>对新郑市公立人民医院传染病区综合楼项目的前期投资咨询工作进行研究，提供详实的项目建议书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pStyle w:val="2"/>
              <w:jc w:val="center"/>
              <w:rPr>
                <w:rFonts w:hint="eastAsia"/>
                <w:vertAlign w:val="baseline"/>
                <w:lang w:val="en-US" w:eastAsia="zh-CN"/>
              </w:rPr>
            </w:pPr>
            <w:r>
              <w:rPr>
                <w:rFonts w:hint="eastAsia"/>
                <w:vertAlign w:val="baseline"/>
                <w:lang w:val="en-US" w:eastAsia="zh-CN"/>
              </w:rPr>
              <w:t>2</w:t>
            </w:r>
          </w:p>
        </w:tc>
        <w:tc>
          <w:tcPr>
            <w:tcW w:w="1620" w:type="dxa"/>
          </w:tcPr>
          <w:p>
            <w:pPr>
              <w:pStyle w:val="2"/>
              <w:jc w:val="center"/>
              <w:rPr>
                <w:rFonts w:hint="eastAsia"/>
                <w:vertAlign w:val="baseline"/>
                <w:lang w:val="en-US" w:eastAsia="zh-CN"/>
              </w:rPr>
            </w:pPr>
            <w:r>
              <w:rPr>
                <w:rFonts w:hint="eastAsia"/>
                <w:vertAlign w:val="baseline"/>
                <w:lang w:val="en-US" w:eastAsia="zh-CN"/>
              </w:rPr>
              <w:t>标段二</w:t>
            </w:r>
          </w:p>
        </w:tc>
        <w:tc>
          <w:tcPr>
            <w:tcW w:w="2550" w:type="dxa"/>
          </w:tcPr>
          <w:p>
            <w:pPr>
              <w:pStyle w:val="2"/>
              <w:jc w:val="center"/>
              <w:rPr>
                <w:rFonts w:hint="eastAsia"/>
                <w:vertAlign w:val="baseline"/>
                <w:lang w:val="en-US" w:eastAsia="zh-CN"/>
              </w:rPr>
            </w:pPr>
            <w:r>
              <w:rPr>
                <w:rFonts w:hint="eastAsia"/>
                <w:vertAlign w:val="baseline"/>
                <w:lang w:val="en-US" w:eastAsia="zh-CN"/>
              </w:rPr>
              <w:t>项目可行性研究报告编制服务</w:t>
            </w:r>
          </w:p>
        </w:tc>
        <w:tc>
          <w:tcPr>
            <w:tcW w:w="3196" w:type="dxa"/>
          </w:tcPr>
          <w:p>
            <w:pPr>
              <w:pStyle w:val="2"/>
              <w:jc w:val="center"/>
              <w:rPr>
                <w:rFonts w:hint="eastAsia"/>
                <w:vertAlign w:val="baseline"/>
                <w:lang w:val="en-US" w:eastAsia="zh-CN"/>
              </w:rPr>
            </w:pPr>
            <w:r>
              <w:rPr>
                <w:rFonts w:hint="eastAsia"/>
                <w:color w:val="auto"/>
                <w:vertAlign w:val="baseline"/>
                <w:lang w:val="en-US" w:eastAsia="zh-CN"/>
              </w:rPr>
              <w:t>对新郑市公立人民医院传染病区综合楼项目的前期投资咨询工作进行研究，提供详实的可行性研究报告书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pStyle w:val="2"/>
              <w:jc w:val="center"/>
              <w:rPr>
                <w:rFonts w:hint="eastAsia"/>
                <w:vertAlign w:val="baseline"/>
                <w:lang w:val="en-US" w:eastAsia="zh-CN"/>
              </w:rPr>
            </w:pPr>
            <w:r>
              <w:rPr>
                <w:rFonts w:hint="eastAsia"/>
                <w:vertAlign w:val="baseline"/>
                <w:lang w:val="en-US" w:eastAsia="zh-CN"/>
              </w:rPr>
              <w:t>3</w:t>
            </w:r>
          </w:p>
        </w:tc>
        <w:tc>
          <w:tcPr>
            <w:tcW w:w="1620" w:type="dxa"/>
          </w:tcPr>
          <w:p>
            <w:pPr>
              <w:pStyle w:val="2"/>
              <w:jc w:val="center"/>
              <w:rPr>
                <w:rFonts w:hint="eastAsia"/>
                <w:vertAlign w:val="baseline"/>
                <w:lang w:val="en-US" w:eastAsia="zh-CN"/>
              </w:rPr>
            </w:pPr>
            <w:r>
              <w:rPr>
                <w:rFonts w:hint="eastAsia"/>
                <w:vertAlign w:val="baseline"/>
                <w:lang w:val="en-US" w:eastAsia="zh-CN"/>
              </w:rPr>
              <w:t>标段三</w:t>
            </w:r>
          </w:p>
        </w:tc>
        <w:tc>
          <w:tcPr>
            <w:tcW w:w="2550" w:type="dxa"/>
          </w:tcPr>
          <w:p>
            <w:pPr>
              <w:pStyle w:val="2"/>
              <w:jc w:val="center"/>
              <w:rPr>
                <w:rFonts w:hint="eastAsia"/>
                <w:vertAlign w:val="baseline"/>
                <w:lang w:val="en-US" w:eastAsia="zh-CN"/>
              </w:rPr>
            </w:pPr>
            <w:r>
              <w:rPr>
                <w:rFonts w:hint="eastAsia"/>
                <w:vertAlign w:val="baseline"/>
                <w:lang w:val="en-US" w:eastAsia="zh-CN"/>
              </w:rPr>
              <w:t>项目可行性研究报告评审报告编制服务</w:t>
            </w:r>
          </w:p>
        </w:tc>
        <w:tc>
          <w:tcPr>
            <w:tcW w:w="3196" w:type="dxa"/>
          </w:tcPr>
          <w:p>
            <w:pPr>
              <w:pStyle w:val="2"/>
              <w:jc w:val="center"/>
              <w:rPr>
                <w:rFonts w:hint="eastAsia"/>
                <w:vertAlign w:val="baseline"/>
                <w:lang w:val="en-US" w:eastAsia="zh-CN"/>
              </w:rPr>
            </w:pPr>
            <w:r>
              <w:rPr>
                <w:rFonts w:hint="eastAsia"/>
                <w:vertAlign w:val="baseline"/>
                <w:lang w:val="en-US" w:eastAsia="zh-CN"/>
              </w:rPr>
              <w:t>组织可行性研究报告书的评审，并符合国家、省、市发改委关于可行性研究报告的评审要求，负责协助相关专家对可行性研究报告书进行评审，并出具可行性研究报告评审报告</w:t>
            </w:r>
          </w:p>
        </w:tc>
      </w:tr>
    </w:tbl>
    <w:p>
      <w:pPr>
        <w:pStyle w:val="2"/>
        <w:rPr>
          <w:rFonts w:hint="eastAsia"/>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color w:val="FF0000"/>
          <w:sz w:val="32"/>
          <w:szCs w:val="32"/>
          <w:lang w:val="en-US" w:eastAsia="zh-CN"/>
        </w:rPr>
        <w:t>需具有建筑工程咨询资质，具有履行合同所必需的设备和专业技术能力（需提供相关证明材料）</w:t>
      </w:r>
      <w:r>
        <w:rPr>
          <w:rFonts w:hint="eastAsia" w:ascii="仿宋_GB2312" w:eastAsia="仿宋_GB2312"/>
          <w:sz w:val="32"/>
          <w:szCs w:val="32"/>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w:t>
      </w:r>
      <w:bookmarkStart w:id="15" w:name="_GoBack"/>
      <w:bookmarkEnd w:id="15"/>
      <w:r>
        <w:rPr>
          <w:rFonts w:hint="eastAsia" w:ascii="仿宋_GB2312" w:eastAsia="仿宋_GB2312"/>
          <w:sz w:val="32"/>
          <w:szCs w:val="32"/>
        </w:rPr>
        <w:t>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、建筑工程咨询资质证明材料。</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响应文件应加贴封条，进行密封。</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30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30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eastAsia="zh-CN"/>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30</w:t>
      </w:r>
    </w:p>
    <w:p>
      <w:pPr>
        <w:spacing w:line="560" w:lineRule="exact"/>
        <w:ind w:right="-92" w:rightChars="-44" w:firstLine="482" w:firstLineChars="200"/>
        <w:rPr>
          <w:rFonts w:hint="eastAsia" w:ascii="宋体" w:hAnsi="宋体"/>
          <w:b/>
          <w:bCs/>
          <w:sz w:val="24"/>
          <w:lang w:val="en-US" w:eastAsia="zh-CN"/>
        </w:rPr>
      </w:pPr>
      <w:r>
        <w:rPr>
          <w:rFonts w:hint="eastAsia" w:ascii="宋体" w:hAnsi="宋体"/>
          <w:b/>
          <w:bCs/>
          <w:sz w:val="24"/>
          <w:lang w:val="en-US" w:eastAsia="zh-CN"/>
        </w:rPr>
        <w:t>二、技术得分（30分）</w:t>
      </w:r>
    </w:p>
    <w:p>
      <w:pPr>
        <w:pStyle w:val="2"/>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对项目的理解（10分），对项目理解全面、准确，认识深刻得5分，对项目理解较透彻，认识较深刻得3分，对项目理解一般，认识一般得1分，完全没有相关内容的，本评分项得0分。</w:t>
      </w:r>
    </w:p>
    <w:p>
      <w:pPr>
        <w:pStyle w:val="2"/>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工作内容（10分）对项目工作内容理解全面、系统、到位得5分，对主要内容理解较全面、较系统、较到位得3分，对主要内容理解不全面、不系统、不到位得1分，完全没有相关内容的，本评分项得0分。</w:t>
      </w:r>
    </w:p>
    <w:p>
      <w:pPr>
        <w:pStyle w:val="2"/>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工作进度计划安排（10分）根据投标人对项目的实施进度计划详细、合理程度在10-2分范围内进行打分，无相关内容的，本评分项得0分。</w:t>
      </w:r>
    </w:p>
    <w:p>
      <w:pPr>
        <w:pStyle w:val="2"/>
        <w:numPr>
          <w:ilvl w:val="0"/>
          <w:numId w:val="0"/>
        </w:numPr>
        <w:ind w:leftChars="20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三、公司实力（40分）</w:t>
      </w:r>
    </w:p>
    <w:p>
      <w:pPr>
        <w:pStyle w:val="2"/>
        <w:numPr>
          <w:ilvl w:val="0"/>
          <w:numId w:val="9"/>
        </w:numPr>
        <w:tabs>
          <w:tab w:val="clear" w:pos="312"/>
        </w:tabs>
        <w:ind w:leftChars="200"/>
        <w:rPr>
          <w:rFonts w:hint="eastAsia" w:ascii="宋体" w:hAnsi="宋体"/>
          <w:bCs/>
          <w:sz w:val="24"/>
          <w:lang w:val="en-US" w:eastAsia="zh-CN"/>
        </w:rPr>
      </w:pPr>
      <w:r>
        <w:rPr>
          <w:rFonts w:hint="eastAsia" w:ascii="宋体" w:hAnsi="宋体"/>
          <w:bCs/>
          <w:sz w:val="24"/>
          <w:lang w:val="en-US" w:eastAsia="zh-CN"/>
        </w:rPr>
        <w:t>公司资质（5分）具有工程咨询单位甲级资质得5分，具有工程咨询单位乙级资质得3分，具有工程咨询单位乙级资质得1分。</w:t>
      </w:r>
    </w:p>
    <w:p>
      <w:pPr>
        <w:pStyle w:val="2"/>
        <w:numPr>
          <w:ilvl w:val="0"/>
          <w:numId w:val="9"/>
        </w:numPr>
        <w:tabs>
          <w:tab w:val="clear" w:pos="312"/>
        </w:tabs>
        <w:ind w:leftChars="200"/>
        <w:rPr>
          <w:rFonts w:hint="eastAsia" w:ascii="宋体" w:hAnsi="宋体"/>
          <w:bCs/>
          <w:sz w:val="24"/>
          <w:highlight w:val="none"/>
          <w:lang w:val="en-US" w:eastAsia="zh-CN"/>
        </w:rPr>
      </w:pPr>
      <w:r>
        <w:rPr>
          <w:rFonts w:hint="eastAsia" w:ascii="宋体" w:hAnsi="宋体"/>
          <w:bCs/>
          <w:sz w:val="24"/>
          <w:highlight w:val="none"/>
          <w:lang w:val="en-US" w:eastAsia="zh-CN"/>
        </w:rPr>
        <w:t>单位组织机构（5分）有本地相关业绩5分，无本地相关业绩3分。</w:t>
      </w:r>
    </w:p>
    <w:p>
      <w:pPr>
        <w:pStyle w:val="2"/>
        <w:numPr>
          <w:ilvl w:val="0"/>
          <w:numId w:val="9"/>
        </w:numPr>
        <w:tabs>
          <w:tab w:val="clear" w:pos="312"/>
        </w:tabs>
        <w:ind w:leftChars="200"/>
        <w:rPr>
          <w:rFonts w:hint="eastAsia" w:ascii="宋体" w:hAnsi="宋体"/>
          <w:bCs/>
          <w:sz w:val="24"/>
          <w:lang w:val="en-US" w:eastAsia="zh-CN"/>
        </w:rPr>
      </w:pPr>
      <w:r>
        <w:rPr>
          <w:rFonts w:hint="eastAsia" w:ascii="宋体" w:hAnsi="宋体"/>
          <w:bCs/>
          <w:sz w:val="24"/>
          <w:lang w:val="en-US" w:eastAsia="zh-CN"/>
        </w:rPr>
        <w:t>企业业绩（15分），三年内承担过类似项目每提供一项得5分，满分15分（需附合同或中标通知书）</w:t>
      </w:r>
    </w:p>
    <w:p>
      <w:pPr>
        <w:pStyle w:val="2"/>
        <w:numPr>
          <w:ilvl w:val="0"/>
          <w:numId w:val="9"/>
        </w:numPr>
        <w:tabs>
          <w:tab w:val="clear" w:pos="312"/>
        </w:tabs>
        <w:ind w:leftChars="200"/>
        <w:rPr>
          <w:rFonts w:hint="eastAsia" w:ascii="宋体" w:hAnsi="宋体"/>
          <w:bCs/>
          <w:color w:val="auto"/>
          <w:sz w:val="24"/>
          <w:lang w:val="en-US" w:eastAsia="zh-CN"/>
        </w:rPr>
      </w:pPr>
      <w:r>
        <w:rPr>
          <w:rFonts w:hint="eastAsia" w:ascii="宋体" w:hAnsi="宋体"/>
          <w:bCs/>
          <w:color w:val="auto"/>
          <w:sz w:val="24"/>
          <w:lang w:val="en-US" w:eastAsia="zh-CN"/>
        </w:rPr>
        <w:t>项目组织机构设置（5分），项目组织管理制度齐全，措施完善，人数为8人以上的为满分5分，5-8人得3分，5人以下得1分</w:t>
      </w:r>
    </w:p>
    <w:p>
      <w:pPr>
        <w:pStyle w:val="2"/>
        <w:numPr>
          <w:ilvl w:val="0"/>
          <w:numId w:val="9"/>
        </w:numPr>
        <w:tabs>
          <w:tab w:val="clear" w:pos="312"/>
        </w:tabs>
        <w:ind w:leftChars="200"/>
        <w:rPr>
          <w:rFonts w:hint="eastAsia" w:ascii="宋体" w:hAnsi="宋体"/>
          <w:bCs/>
          <w:color w:val="auto"/>
          <w:sz w:val="24"/>
          <w:lang w:val="en-US" w:eastAsia="zh-CN"/>
        </w:rPr>
      </w:pPr>
      <w:r>
        <w:rPr>
          <w:rFonts w:hint="eastAsia" w:ascii="宋体" w:hAnsi="宋体"/>
          <w:bCs/>
          <w:color w:val="auto"/>
          <w:sz w:val="24"/>
          <w:lang w:val="en-US" w:eastAsia="zh-CN"/>
        </w:rPr>
        <w:t>项目组织人员资质（10分），具有高级工程师（副高）资格的，每个得1分，具有教授级高级工程师（正高）的，每个得1.5分，最多得5分。拟投入本项目人员参与完成过至少一项类似项目业绩得1.5分，最多得5分。</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w:t>
      </w:r>
      <w:r>
        <w:rPr>
          <w:rFonts w:hint="eastAsia" w:ascii="宋体" w:hAnsi="宋体"/>
          <w:color w:val="000000" w:themeColor="text1"/>
          <w:sz w:val="24"/>
          <w:lang w:eastAsia="zh-CN"/>
          <w14:textFill>
            <w14:solidFill>
              <w14:schemeClr w14:val="tx1"/>
            </w14:solidFill>
          </w14:textFill>
        </w:rPr>
        <w:t>整数</w:t>
      </w:r>
      <w:r>
        <w:rPr>
          <w:rFonts w:hint="eastAsia" w:ascii="宋体" w:hAnsi="宋体"/>
          <w:color w:val="000000" w:themeColor="text1"/>
          <w:sz w:val="24"/>
          <w14:textFill>
            <w14:solidFill>
              <w14:schemeClr w14:val="tx1"/>
            </w14:solidFill>
          </w14:textFill>
        </w:rPr>
        <w:t>，按四舍五入计入。</w:t>
      </w: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包含对本项目的理解以及工作进度计划与安排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5313"/>
      <w:bookmarkStart w:id="5" w:name="_Toc304219257"/>
      <w:bookmarkStart w:id="6" w:name="_Toc24889606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754C9"/>
    <w:multiLevelType w:val="singleLevel"/>
    <w:tmpl w:val="8A5754C9"/>
    <w:lvl w:ilvl="0" w:tentative="0">
      <w:start w:val="1"/>
      <w:numFmt w:val="decimal"/>
      <w:lvlText w:val="%1."/>
      <w:lvlJc w:val="left"/>
      <w:pPr>
        <w:tabs>
          <w:tab w:val="left" w:pos="312"/>
        </w:tabs>
        <w:ind w:left="240" w:leftChars="0" w:firstLine="0" w:firstLineChars="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AD0B94F"/>
    <w:multiLevelType w:val="singleLevel"/>
    <w:tmpl w:val="3AD0B94F"/>
    <w:lvl w:ilvl="0" w:tentative="0">
      <w:start w:val="1"/>
      <w:numFmt w:val="decimal"/>
      <w:lvlText w:val="%1."/>
      <w:lvlJc w:val="left"/>
      <w:pPr>
        <w:tabs>
          <w:tab w:val="left" w:pos="312"/>
        </w:tabs>
      </w:p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7"/>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4D4656C"/>
    <w:rsid w:val="16A35C46"/>
    <w:rsid w:val="17D81E85"/>
    <w:rsid w:val="188744A6"/>
    <w:rsid w:val="1965314B"/>
    <w:rsid w:val="1C900C49"/>
    <w:rsid w:val="1D995826"/>
    <w:rsid w:val="1E4C6245"/>
    <w:rsid w:val="1E8F532B"/>
    <w:rsid w:val="245F44FD"/>
    <w:rsid w:val="246624B2"/>
    <w:rsid w:val="24DF7354"/>
    <w:rsid w:val="24FE3AD7"/>
    <w:rsid w:val="25405898"/>
    <w:rsid w:val="25E13CF1"/>
    <w:rsid w:val="2643733F"/>
    <w:rsid w:val="264A511E"/>
    <w:rsid w:val="278100C0"/>
    <w:rsid w:val="288B4898"/>
    <w:rsid w:val="2A7E0BB7"/>
    <w:rsid w:val="2B0A7B44"/>
    <w:rsid w:val="2F632DBF"/>
    <w:rsid w:val="30217C48"/>
    <w:rsid w:val="31827FC3"/>
    <w:rsid w:val="33F956F6"/>
    <w:rsid w:val="36951F21"/>
    <w:rsid w:val="384A7AD5"/>
    <w:rsid w:val="3B132AD9"/>
    <w:rsid w:val="3B2A4846"/>
    <w:rsid w:val="3B5373B6"/>
    <w:rsid w:val="3EDC78BB"/>
    <w:rsid w:val="44B67130"/>
    <w:rsid w:val="44D5542C"/>
    <w:rsid w:val="4656733B"/>
    <w:rsid w:val="486D7AF7"/>
    <w:rsid w:val="494804BB"/>
    <w:rsid w:val="4B4638AD"/>
    <w:rsid w:val="4B9C1C97"/>
    <w:rsid w:val="4BC500AA"/>
    <w:rsid w:val="4C6C1786"/>
    <w:rsid w:val="4FCE5CD6"/>
    <w:rsid w:val="53501B3C"/>
    <w:rsid w:val="53F32B2D"/>
    <w:rsid w:val="550B217C"/>
    <w:rsid w:val="562E3236"/>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2AF016F"/>
    <w:rsid w:val="738608DB"/>
    <w:rsid w:val="745F5922"/>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45</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2020-06-30T08:23:35Z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