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社区滚动灯箱广告</w:t>
      </w:r>
      <w:r>
        <w:rPr>
          <w:rFonts w:hint="eastAsia" w:ascii="黑体" w:hAnsi="黑体" w:eastAsia="黑体" w:cs="黑体"/>
          <w:sz w:val="52"/>
          <w:szCs w:val="52"/>
          <w:lang w:eastAsia="zh-CN"/>
        </w:rPr>
        <w:t>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招标</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2020年4月13日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招标</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招标</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社区滚动灯箱广告</w:t>
      </w:r>
      <w:r>
        <w:rPr>
          <w:rFonts w:hint="eastAsia" w:ascii="仿宋_GB2312" w:eastAsia="仿宋_GB2312"/>
          <w:sz w:val="32"/>
          <w:szCs w:val="32"/>
          <w:lang w:eastAsia="zh-CN"/>
        </w:rPr>
        <w:t>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社区滚动灯箱广告项目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rPr>
          <w:rFonts w:hint="eastAsia" w:ascii="黑体" w:eastAsia="黑体"/>
          <w:sz w:val="32"/>
          <w:szCs w:val="32"/>
          <w:lang w:val="en-US" w:eastAsia="zh-CN"/>
        </w:rPr>
      </w:pPr>
      <w:r>
        <w:rPr>
          <w:rFonts w:hint="eastAsia" w:ascii="黑体" w:eastAsia="黑体"/>
          <w:sz w:val="32"/>
          <w:szCs w:val="32"/>
          <w:lang w:eastAsia="zh-CN"/>
        </w:rPr>
        <w:t>项目要求：</w:t>
      </w:r>
      <w:r>
        <w:rPr>
          <w:rFonts w:hint="eastAsia" w:ascii="仿宋_GB2312" w:hAnsi="仿宋_GB2312" w:eastAsia="仿宋_GB2312" w:cs="仿宋_GB2312"/>
          <w:sz w:val="32"/>
          <w:szCs w:val="32"/>
          <w:lang w:val="en-US" w:eastAsia="zh-CN"/>
        </w:rPr>
        <w:t>为加强我院宣传力度，根据市场宣传需求，现决定在17个社区的滚动灯箱广告，本次采购具有在17个小区滚动灯箱广告位发布代理权的服务供应商，具体社区名单如下：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605"/>
        <w:gridCol w:w="2426"/>
        <w:gridCol w:w="904"/>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序号</w:t>
            </w:r>
          </w:p>
        </w:tc>
        <w:tc>
          <w:tcPr>
            <w:tcW w:w="1605"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区域</w:t>
            </w:r>
          </w:p>
        </w:tc>
        <w:tc>
          <w:tcPr>
            <w:tcW w:w="2426"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小区名称</w:t>
            </w:r>
          </w:p>
        </w:tc>
        <w:tc>
          <w:tcPr>
            <w:tcW w:w="904"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数量</w:t>
            </w:r>
          </w:p>
        </w:tc>
        <w:tc>
          <w:tcPr>
            <w:tcW w:w="2506"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605" w:type="dxa"/>
            <w:vMerge w:val="restart"/>
          </w:tcPr>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新郑市区</w:t>
            </w: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滨河帝城</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渔夫子路与永宁路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花悦城</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解放路人民路交叉口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李唐庄</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中华路与学院路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蒂花上苑</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阁老路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一品蓝湾</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城关宜居小区</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维也纳春天</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陶文路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维也纳小镇</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郑韩路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金都花园</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新建路道北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金隆花园</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月季新城</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中华路与双拥路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博士家园</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人民路中段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东电花园</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新烟街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庆都首府</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1605" w:type="dxa"/>
            <w:vMerge w:val="restart"/>
          </w:tcPr>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辛店</w:t>
            </w: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阳光花园社区</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辛店镇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蓝天新城社区</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辛店镇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南李庄社区</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辛店镇</w:t>
            </w:r>
          </w:p>
        </w:tc>
      </w:tr>
    </w:tbl>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服务周期：一年</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、具有社区灯箱发布广告代理权资质证明。</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color w:val="C00000"/>
          <w:sz w:val="32"/>
          <w:szCs w:val="32"/>
          <w:lang w:val="en-US" w:eastAsia="zh-CN"/>
        </w:rPr>
        <w:t xml:space="preserve"> 4、报名方式：接受邮件报名（需注明联系人联系方式）以及现场报名。</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文件递交地址：新郑市公立人民医院科研楼四楼</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p>
      <w:pPr>
        <w:rPr>
          <w:rFonts w:ascii="黑体" w:hAnsi="黑体" w:eastAsia="黑体" w:cs="黑体"/>
          <w:sz w:val="32"/>
          <w:szCs w:val="32"/>
        </w:rPr>
      </w:pPr>
    </w:p>
    <w:p>
      <w:pPr>
        <w:pStyle w:val="2"/>
        <w:rPr>
          <w:rFonts w:hint="eastAsia" w:ascii="黑体" w:hAnsi="黑体" w:eastAsia="黑体" w:cs="黑体"/>
          <w:color w:val="C00000"/>
          <w:sz w:val="32"/>
          <w:szCs w:val="32"/>
          <w:lang w:eastAsia="zh-CN"/>
        </w:rPr>
      </w:pPr>
      <w:r>
        <w:rPr>
          <w:rFonts w:hint="eastAsia" w:ascii="黑体" w:hAnsi="黑体" w:eastAsia="黑体" w:cs="黑体"/>
          <w:color w:val="C00000"/>
          <w:sz w:val="32"/>
          <w:szCs w:val="32"/>
          <w:lang w:eastAsia="zh-CN"/>
        </w:rPr>
        <w:t>最低价中标</w:t>
      </w: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发包人</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承包人</w:t>
      </w:r>
      <w:r>
        <w:rPr>
          <w:rFonts w:hint="eastAsia"/>
        </w:rPr>
        <w:t>：_________(以下简称乙方)</w:t>
      </w:r>
    </w:p>
    <w:p>
      <w:r>
        <w:rPr>
          <w:rFonts w:hint="eastAsia"/>
        </w:rPr>
        <w:t>　　经甲、乙双方充分友好协商，就_________项目特订立本合同，以便共同遵守。</w:t>
      </w:r>
    </w:p>
    <w:p>
      <w:pPr>
        <w:numPr>
          <w:ilvl w:val="0"/>
          <w:numId w:val="7"/>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新郑市公立人民17个社区滚动灯箱广告宣传项目</w:t>
      </w:r>
    </w:p>
    <w:p>
      <w:pPr>
        <w:numPr>
          <w:ilvl w:val="0"/>
          <w:numId w:val="7"/>
        </w:numPr>
        <w:ind w:left="420" w:leftChars="0" w:firstLine="0" w:firstLineChars="0"/>
        <w:rPr>
          <w:rFonts w:hint="eastAsia"/>
          <w:lang w:eastAsia="zh-CN"/>
        </w:rPr>
      </w:pPr>
      <w:r>
        <w:rPr>
          <w:rFonts w:hint="eastAsia"/>
          <w:lang w:eastAsia="zh-CN"/>
        </w:rPr>
        <w:t>项目内容</w:t>
      </w:r>
    </w:p>
    <w:p>
      <w:pPr>
        <w:pStyle w:val="2"/>
        <w:numPr>
          <w:ilvl w:val="0"/>
          <w:numId w:val="0"/>
        </w:numPr>
        <w:ind w:left="420" w:leftChars="0"/>
        <w:rPr>
          <w:rFonts w:hint="eastAsia"/>
          <w:lang w:val="en-US" w:eastAsia="zh-CN"/>
        </w:rPr>
      </w:pPr>
      <w:r>
        <w:rPr>
          <w:rFonts w:hint="eastAsia"/>
          <w:lang w:eastAsia="zh-CN"/>
        </w:rPr>
        <w:t>在合同周期内在以下</w:t>
      </w:r>
      <w:r>
        <w:rPr>
          <w:rFonts w:hint="eastAsia"/>
          <w:lang w:val="en-US" w:eastAsia="zh-CN"/>
        </w:rPr>
        <w:t>17个社区滚动灯箱内，按照医院的要求发布宣传广告。</w:t>
      </w:r>
    </w:p>
    <w:tbl>
      <w:tblPr>
        <w:tblStyle w:val="12"/>
        <w:tblpPr w:leftFromText="180" w:rightFromText="180" w:vertAnchor="text" w:horzAnchor="page" w:tblpX="1807"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605"/>
        <w:gridCol w:w="2426"/>
        <w:gridCol w:w="904"/>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序号</w:t>
            </w:r>
          </w:p>
        </w:tc>
        <w:tc>
          <w:tcPr>
            <w:tcW w:w="1605"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区域</w:t>
            </w:r>
          </w:p>
        </w:tc>
        <w:tc>
          <w:tcPr>
            <w:tcW w:w="2426"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小区名称</w:t>
            </w:r>
          </w:p>
        </w:tc>
        <w:tc>
          <w:tcPr>
            <w:tcW w:w="904"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数量</w:t>
            </w:r>
          </w:p>
        </w:tc>
        <w:tc>
          <w:tcPr>
            <w:tcW w:w="2506" w:type="dxa"/>
          </w:tcPr>
          <w:p>
            <w:pPr>
              <w:pStyle w:val="2"/>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605" w:type="dxa"/>
            <w:vMerge w:val="restart"/>
          </w:tcPr>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新郑市区</w:t>
            </w: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滨河帝城</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渔夫子路与永宁路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花悦城</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解放路人民路交叉口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李唐庄</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中华路与学院路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蒂花上苑</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阁老路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一品蓝湾</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城关宜居小区</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维也纳春天</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陶文路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维也纳小镇</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郑韩路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金都花园</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新建路道北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金隆花园</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月季新城</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中华路与双拥路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博士家园</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人民路中段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东电花园</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新烟街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庆都首府</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1605" w:type="dxa"/>
            <w:vMerge w:val="restart"/>
          </w:tcPr>
          <w:p>
            <w:pPr>
              <w:pStyle w:val="2"/>
              <w:jc w:val="center"/>
              <w:rPr>
                <w:rFonts w:hint="eastAsia" w:ascii="仿宋_GB2312" w:hAnsi="仿宋_GB2312" w:eastAsia="仿宋_GB2312" w:cs="仿宋_GB2312"/>
                <w:sz w:val="32"/>
                <w:szCs w:val="32"/>
                <w:vertAlign w:val="baseline"/>
                <w:lang w:val="en-US" w:eastAsia="zh-CN"/>
              </w:rPr>
            </w:pPr>
          </w:p>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辛店</w:t>
            </w: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阳光花园社区</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辛店镇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蓝天新城社区</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辛店镇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1605" w:type="dxa"/>
            <w:vMerge w:val="continue"/>
          </w:tcPr>
          <w:p>
            <w:pPr>
              <w:pStyle w:val="2"/>
              <w:jc w:val="center"/>
              <w:rPr>
                <w:rFonts w:hint="eastAsia" w:ascii="仿宋_GB2312" w:hAnsi="仿宋_GB2312" w:eastAsia="仿宋_GB2312" w:cs="仿宋_GB2312"/>
                <w:sz w:val="32"/>
                <w:szCs w:val="32"/>
                <w:vertAlign w:val="baseline"/>
                <w:lang w:val="en-US" w:eastAsia="zh-CN"/>
              </w:rPr>
            </w:pPr>
          </w:p>
        </w:tc>
        <w:tc>
          <w:tcPr>
            <w:tcW w:w="2426"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南李庄社区</w:t>
            </w:r>
          </w:p>
        </w:tc>
        <w:tc>
          <w:tcPr>
            <w:tcW w:w="904" w:type="dxa"/>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06" w:type="dxa"/>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辛店镇</w:t>
            </w:r>
          </w:p>
        </w:tc>
      </w:tr>
    </w:tbl>
    <w:p>
      <w:pPr>
        <w:ind w:firstLine="420" w:firstLineChars="200"/>
        <w:rPr>
          <w:rFonts w:hint="eastAsia"/>
        </w:rPr>
      </w:pPr>
      <w:r>
        <w:rPr>
          <w:rFonts w:hint="eastAsia"/>
        </w:rPr>
        <w:t>　　</w:t>
      </w:r>
    </w:p>
    <w:p>
      <w:pPr>
        <w:numPr>
          <w:ilvl w:val="0"/>
          <w:numId w:val="0"/>
        </w:numPr>
        <w:ind w:leftChars="200"/>
        <w:rPr>
          <w:rFonts w:hint="eastAsia"/>
          <w:lang w:eastAsia="zh-CN"/>
        </w:rPr>
      </w:pPr>
      <w:r>
        <w:rPr>
          <w:rFonts w:hint="eastAsia"/>
          <w:lang w:eastAsia="zh-CN"/>
        </w:rPr>
        <w:t>三、合同工期：</w:t>
      </w:r>
    </w:p>
    <w:p>
      <w:pPr>
        <w:pStyle w:val="2"/>
        <w:numPr>
          <w:ilvl w:val="0"/>
          <w:numId w:val="0"/>
        </w:numPr>
        <w:ind w:leftChars="200"/>
        <w:rPr>
          <w:rFonts w:hint="eastAsia"/>
          <w:u w:val="none"/>
          <w:lang w:val="en-US" w:eastAsia="zh-CN"/>
        </w:rPr>
      </w:pPr>
      <w:r>
        <w:rPr>
          <w:rFonts w:hint="eastAsia"/>
          <w:lang w:val="en-US" w:eastAsia="zh-CN"/>
        </w:rPr>
        <w:t xml:space="preserve">2020年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日至2021年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8"/>
        </w:numPr>
        <w:ind w:left="420" w:leftChars="200" w:firstLine="0" w:firstLineChars="0"/>
        <w:rPr>
          <w:rFonts w:hint="eastAsia"/>
          <w:u w:val="none"/>
          <w:lang w:val="en-US" w:eastAsia="zh-CN"/>
        </w:rPr>
      </w:pPr>
      <w:r>
        <w:rPr>
          <w:rFonts w:hint="eastAsia"/>
          <w:u w:val="none"/>
          <w:lang w:val="en-US" w:eastAsia="zh-CN"/>
        </w:rPr>
        <w:t>结算办法</w:t>
      </w:r>
    </w:p>
    <w:p>
      <w:pPr>
        <w:pStyle w:val="2"/>
        <w:numPr>
          <w:ilvl w:val="0"/>
          <w:numId w:val="8"/>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9"/>
        </w:numPr>
        <w:ind w:leftChars="200"/>
        <w:rPr>
          <w:rFonts w:hint="eastAsia"/>
          <w:u w:val="none"/>
          <w:lang w:val="en-US" w:eastAsia="zh-CN"/>
        </w:rPr>
      </w:pPr>
      <w:r>
        <w:rPr>
          <w:rFonts w:hint="eastAsia"/>
          <w:u w:val="none"/>
          <w:lang w:val="en-US" w:eastAsia="zh-CN"/>
        </w:rPr>
        <w:t>乙方按照甲方要求，及时更换广告内容，要求在12小时内响应甲方要求，给出明确工期。</w:t>
      </w:r>
    </w:p>
    <w:p>
      <w:pPr>
        <w:pStyle w:val="2"/>
        <w:numPr>
          <w:ilvl w:val="0"/>
          <w:numId w:val="9"/>
        </w:numPr>
        <w:ind w:leftChars="200"/>
        <w:rPr>
          <w:rFonts w:hint="eastAsia"/>
          <w:u w:val="none"/>
          <w:lang w:val="en-US" w:eastAsia="zh-CN"/>
        </w:rPr>
      </w:pPr>
      <w:r>
        <w:rPr>
          <w:rFonts w:hint="eastAsia"/>
          <w:u w:val="none"/>
          <w:lang w:val="en-US" w:eastAsia="zh-CN"/>
        </w:rPr>
        <w:t>甲方按照合同约定及时给乙方进行资金结算。</w:t>
      </w: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投标</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营业执照、代理权资质证明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小区灯箱位置、尺寸、小区入住率、宣传效果等相关信息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pPr>
              <w:jc w:val="left"/>
              <w:rPr>
                <w:rFonts w:hint="eastAsia" w:ascii="仿宋" w:hAnsi="仿宋" w:eastAsia="仿宋"/>
                <w:b/>
                <w:color w:val="C00000"/>
                <w:sz w:val="22"/>
                <w:szCs w:val="21"/>
                <w:lang w:eastAsia="zh-CN"/>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w:t>
      </w:r>
      <w:r>
        <w:rPr>
          <w:rFonts w:hint="eastAsia" w:ascii="仿宋_GB2312" w:eastAsia="仿宋_GB2312"/>
          <w:color w:val="C00000"/>
          <w:sz w:val="28"/>
          <w:szCs w:val="28"/>
        </w:rPr>
        <w:t>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w:t>
      </w:r>
      <w:r>
        <w:rPr>
          <w:rFonts w:hint="eastAsia" w:ascii="仿宋_GB2312" w:eastAsia="仿宋_GB2312"/>
          <w:color w:val="C00000"/>
          <w:sz w:val="28"/>
          <w:szCs w:val="28"/>
          <w:lang w:eastAsia="zh-CN"/>
        </w:rPr>
        <w:t>胶装</w:t>
      </w:r>
      <w:r>
        <w:rPr>
          <w:rFonts w:hint="eastAsia" w:ascii="仿宋_GB2312" w:eastAsia="仿宋_GB2312"/>
          <w:color w:val="000000"/>
          <w:sz w:val="28"/>
          <w:szCs w:val="28"/>
        </w:rPr>
        <w:t>。</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投标</w:t>
      </w:r>
      <w:r>
        <w:rPr>
          <w:rFonts w:hint="eastAsia" w:ascii="仿宋_GB2312" w:eastAsia="仿宋_GB2312"/>
          <w:color w:val="000000"/>
          <w:sz w:val="30"/>
          <w:szCs w:val="30"/>
        </w:rPr>
        <w:t>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2B6F26"/>
    <w:multiLevelType w:val="singleLevel"/>
    <w:tmpl w:val="E32B6F26"/>
    <w:lvl w:ilvl="0" w:tentative="0">
      <w:start w:val="1"/>
      <w:numFmt w:val="decimal"/>
      <w:lvlText w:val="%1."/>
      <w:lvlJc w:val="left"/>
      <w:pPr>
        <w:tabs>
          <w:tab w:val="left" w:pos="312"/>
        </w:tabs>
      </w:p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0677AF"/>
    <w:rsid w:val="1C900C49"/>
    <w:rsid w:val="1D995826"/>
    <w:rsid w:val="1E4C6245"/>
    <w:rsid w:val="245F44FD"/>
    <w:rsid w:val="246624B2"/>
    <w:rsid w:val="24FE3AD7"/>
    <w:rsid w:val="25E13CF1"/>
    <w:rsid w:val="2643733F"/>
    <w:rsid w:val="264A511E"/>
    <w:rsid w:val="278100C0"/>
    <w:rsid w:val="288B4898"/>
    <w:rsid w:val="2A7E0BB7"/>
    <w:rsid w:val="2F632DBF"/>
    <w:rsid w:val="30217C48"/>
    <w:rsid w:val="31827FC3"/>
    <w:rsid w:val="33F956F6"/>
    <w:rsid w:val="384A7AD5"/>
    <w:rsid w:val="3AB3697F"/>
    <w:rsid w:val="3B2A4846"/>
    <w:rsid w:val="3B5373B6"/>
    <w:rsid w:val="3EDC78BB"/>
    <w:rsid w:val="44B67130"/>
    <w:rsid w:val="4656733B"/>
    <w:rsid w:val="486D7AF7"/>
    <w:rsid w:val="494804BB"/>
    <w:rsid w:val="4B4638AD"/>
    <w:rsid w:val="4B9C1C97"/>
    <w:rsid w:val="4BC500AA"/>
    <w:rsid w:val="4FCE5CD6"/>
    <w:rsid w:val="563E288F"/>
    <w:rsid w:val="57162389"/>
    <w:rsid w:val="57575861"/>
    <w:rsid w:val="5AD50E25"/>
    <w:rsid w:val="5E561658"/>
    <w:rsid w:val="615523A0"/>
    <w:rsid w:val="649D2897"/>
    <w:rsid w:val="64E26821"/>
    <w:rsid w:val="66016CC0"/>
    <w:rsid w:val="695C7637"/>
    <w:rsid w:val="6A67750E"/>
    <w:rsid w:val="6CD8518D"/>
    <w:rsid w:val="6ECA7999"/>
    <w:rsid w:val="78481C8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214</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2020-04-13T02:33:00Z</cp:lastPrinted>
  <dcterms:modified xsi:type="dcterms:W3CDTF">2020-04-14T03:56:20Z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