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眼科眼镜框及镜片供应服务</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项目招标</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sectPr>
          <w:pgSz w:w="11906" w:h="16838"/>
          <w:pgMar w:top="1440" w:right="1800" w:bottom="1440" w:left="1800" w:header="851" w:footer="992" w:gutter="0"/>
          <w:cols w:space="425" w:num="1"/>
          <w:docGrid w:type="lines" w:linePitch="312" w:charSpace="0"/>
        </w:sectPr>
      </w:pPr>
    </w:p>
    <w:p>
      <w:pPr>
        <w:pStyle w:val="2"/>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眼科眼镜框及镜片供应服务</w:t>
      </w:r>
      <w:r>
        <w:rPr>
          <w:rFonts w:hint="eastAsia" w:ascii="仿宋_GB2312" w:eastAsia="仿宋_GB2312"/>
          <w:sz w:val="32"/>
          <w:szCs w:val="32"/>
          <w:lang w:eastAsia="zh-CN"/>
        </w:rPr>
        <w:t>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pStyle w:val="2"/>
        <w:ind w:firstLine="64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标段划分：标段一:镜框（要求提供样品）</w:t>
      </w:r>
    </w:p>
    <w:p>
      <w:pPr>
        <w:pStyle w:val="2"/>
      </w:pPr>
      <w:r>
        <w:rPr>
          <w:rFonts w:hint="eastAsia" w:ascii="仿宋_GB2312" w:hAnsi="Calibri" w:eastAsia="仿宋_GB2312" w:cs="Times New Roman"/>
          <w:kern w:val="2"/>
          <w:sz w:val="32"/>
          <w:szCs w:val="32"/>
          <w:lang w:val="en-US" w:eastAsia="zh-CN" w:bidi="ar-SA"/>
        </w:rPr>
        <w:t xml:space="preserve">              标段二：镜片</w:t>
      </w:r>
    </w:p>
    <w:p>
      <w:pPr>
        <w:spacing w:line="560" w:lineRule="exact"/>
        <w:ind w:firstLine="640" w:firstLineChars="200"/>
        <w:rPr>
          <w:rFonts w:hint="eastAsia"/>
          <w:lang w:val="en-US" w:eastAsia="zh-CN"/>
        </w:rPr>
      </w:pPr>
      <w:r>
        <w:rPr>
          <w:rFonts w:hint="eastAsia" w:ascii="仿宋_GB2312" w:eastAsia="仿宋_GB2312"/>
          <w:sz w:val="32"/>
          <w:szCs w:val="32"/>
          <w:lang w:eastAsia="zh-CN"/>
        </w:rPr>
        <w:t>项目要求：供应商能够满足我院眼镜框及眼镜片的供应需求（后附需求清单）供应商的供货范围可大于等于需求清单，但不得少于需求清单</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服务期限：一年</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根据财库[2016]125号文的规定,凡列入失信被执行人、重大税收违法案件当事人名单、政府采购严重违法失信行为记录名单及其他不符合《中华人民共和国政府采购法》第二十二条规定条件的潜在投标人禁止投标（信用记录查询渠道:“信用中国”http://www.creditchina.gov.cn/和“中国政府采购网”http://www.ccgp.gov.cn/网站,查询截图附在投标文件里）</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至2019年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widowControl/>
        <w:spacing w:line="460" w:lineRule="exact"/>
        <w:ind w:firstLine="640" w:firstLineChars="200"/>
        <w:jc w:val="left"/>
        <w:rPr>
          <w:rFonts w:hint="eastAsia" w:ascii="宋体" w:eastAsia="仿宋_GB2312" w:cs="Arial"/>
          <w:color w:val="auto"/>
          <w:sz w:val="24"/>
          <w:lang w:val="en-US" w:eastAsia="zh-CN"/>
        </w:rPr>
      </w:pPr>
      <w:r>
        <w:rPr>
          <w:rFonts w:hint="eastAsia" w:ascii="仿宋_GB2312" w:eastAsia="仿宋_GB2312"/>
          <w:sz w:val="32"/>
          <w:szCs w:val="32"/>
        </w:rPr>
        <w:t>3、报名须知：</w:t>
      </w:r>
      <w:r>
        <w:rPr>
          <w:rFonts w:hint="eastAsia" w:ascii="仿宋_GB2312" w:eastAsia="仿宋_GB2312"/>
          <w:sz w:val="32"/>
          <w:szCs w:val="32"/>
          <w:lang w:eastAsia="zh-CN"/>
        </w:rPr>
        <w:t>报名需携带以下所有材料原件和加盖公章的复印件一套，所有材料必须是清晰、完整的，投标单位对资料的真实性、合规性负责：</w:t>
      </w:r>
    </w:p>
    <w:p>
      <w:pPr>
        <w:pStyle w:val="2"/>
        <w:rPr>
          <w:rFonts w:hint="eastAsia" w:ascii="宋体" w:cs="Arial"/>
          <w:color w:val="auto"/>
        </w:rPr>
      </w:pPr>
      <w:r>
        <w:rPr>
          <w:rFonts w:hint="eastAsia" w:ascii="宋体" w:cs="Arial"/>
          <w:color w:val="auto"/>
        </w:rPr>
        <w:t xml:space="preserve">    </w:t>
      </w:r>
      <w:r>
        <w:rPr>
          <w:rFonts w:ascii="宋体" w:cs="Arial"/>
          <w:color w:val="auto"/>
        </w:rPr>
        <w:t xml:space="preserve">（1）有效营业执照副本（三证合一的营业执照副本）； </w:t>
      </w:r>
    </w:p>
    <w:p>
      <w:pPr>
        <w:pStyle w:val="2"/>
        <w:rPr>
          <w:rFonts w:hint="eastAsia" w:ascii="宋体" w:cs="Arial"/>
          <w:color w:val="FF0000"/>
        </w:rPr>
      </w:pPr>
      <w:r>
        <w:rPr>
          <w:rFonts w:hint="eastAsia" w:ascii="宋体" w:cs="Arial"/>
          <w:color w:val="auto"/>
        </w:rPr>
        <w:t xml:space="preserve">    </w:t>
      </w:r>
      <w:r>
        <w:rPr>
          <w:rFonts w:ascii="宋体" w:cs="Arial"/>
          <w:color w:val="FF0000"/>
        </w:rPr>
        <w:t>（</w:t>
      </w:r>
      <w:r>
        <w:rPr>
          <w:rFonts w:hint="eastAsia" w:ascii="宋体" w:cs="Arial"/>
          <w:color w:val="FF0000"/>
          <w:lang w:val="en-US" w:eastAsia="zh-CN"/>
        </w:rPr>
        <w:t>2</w:t>
      </w:r>
      <w:r>
        <w:rPr>
          <w:rFonts w:ascii="宋体" w:cs="Arial"/>
          <w:color w:val="FF0000"/>
        </w:rPr>
        <w:t>）（201</w:t>
      </w:r>
      <w:r>
        <w:rPr>
          <w:rFonts w:hint="eastAsia" w:ascii="宋体" w:cs="Arial"/>
          <w:color w:val="FF0000"/>
        </w:rPr>
        <w:t>8</w:t>
      </w:r>
      <w:r>
        <w:rPr>
          <w:rFonts w:ascii="宋体" w:cs="Arial"/>
          <w:color w:val="FF0000"/>
        </w:rPr>
        <w:t xml:space="preserve"> 年）经审计的财务报告（</w:t>
      </w:r>
      <w:r>
        <w:rPr>
          <w:rFonts w:hint="eastAsia" w:ascii="宋体" w:cs="Arial"/>
          <w:color w:val="FF0000"/>
          <w:lang w:eastAsia="zh-CN"/>
        </w:rPr>
        <w:t>新成立的</w:t>
      </w:r>
      <w:r>
        <w:rPr>
          <w:rFonts w:ascii="宋体" w:cs="Arial"/>
          <w:color w:val="FF0000"/>
        </w:rPr>
        <w:t>企业成立不足</w:t>
      </w:r>
      <w:r>
        <w:rPr>
          <w:rFonts w:hint="eastAsia" w:ascii="宋体" w:cs="Arial"/>
          <w:color w:val="FF0000"/>
          <w:lang w:eastAsia="zh-CN"/>
        </w:rPr>
        <w:t>一</w:t>
      </w:r>
      <w:r>
        <w:rPr>
          <w:rFonts w:ascii="宋体" w:cs="Arial"/>
          <w:color w:val="FF0000"/>
        </w:rPr>
        <w:t>年的，以企业注册成立之日起</w:t>
      </w:r>
      <w:r>
        <w:rPr>
          <w:rFonts w:hint="eastAsia" w:ascii="宋体" w:cs="Arial"/>
          <w:color w:val="FF0000"/>
          <w:lang w:eastAsia="zh-CN"/>
        </w:rPr>
        <w:t>计算，</w:t>
      </w:r>
      <w:r>
        <w:rPr>
          <w:rFonts w:ascii="宋体" w:cs="Arial"/>
          <w:color w:val="FF0000"/>
        </w:rPr>
        <w:t xml:space="preserve">应提供基本户银行出具的资信证明）； </w:t>
      </w:r>
    </w:p>
    <w:p>
      <w:pPr>
        <w:widowControl/>
        <w:spacing w:line="460" w:lineRule="exact"/>
        <w:ind w:firstLine="420" w:firstLineChars="200"/>
        <w:jc w:val="left"/>
        <w:rPr>
          <w:rFonts w:hint="eastAsia" w:ascii="宋体" w:cs="Arial"/>
          <w:color w:val="FF0000"/>
          <w:sz w:val="24"/>
        </w:rPr>
      </w:pPr>
      <w:r>
        <w:rPr>
          <w:rFonts w:hint="eastAsia" w:ascii="宋体" w:cs="Arial"/>
          <w:color w:val="FF0000"/>
        </w:rPr>
        <w:t xml:space="preserve"> </w:t>
      </w:r>
      <w:r>
        <w:rPr>
          <w:rFonts w:ascii="宋体" w:cs="Arial"/>
          <w:color w:val="FF0000"/>
          <w:sz w:val="24"/>
        </w:rPr>
        <w:t>（</w:t>
      </w:r>
      <w:r>
        <w:rPr>
          <w:rFonts w:hint="eastAsia" w:ascii="宋体" w:cs="Arial"/>
          <w:color w:val="FF0000"/>
          <w:sz w:val="24"/>
          <w:lang w:val="en-US" w:eastAsia="zh-CN"/>
        </w:rPr>
        <w:t>3</w:t>
      </w:r>
      <w:r>
        <w:rPr>
          <w:rFonts w:ascii="宋体" w:cs="Arial"/>
          <w:color w:val="FF0000"/>
          <w:sz w:val="24"/>
        </w:rPr>
        <w:t>）</w:t>
      </w:r>
      <w:r>
        <w:rPr>
          <w:rFonts w:hint="eastAsia" w:ascii="宋体" w:cs="Arial"/>
          <w:color w:val="FF0000"/>
          <w:sz w:val="24"/>
        </w:rPr>
        <w:t>依法缴纳税收凭据和社会保障资金的证明材料（提供201</w:t>
      </w:r>
      <w:r>
        <w:rPr>
          <w:rFonts w:hint="eastAsia" w:ascii="宋体" w:cs="Arial"/>
          <w:color w:val="FF0000"/>
          <w:sz w:val="24"/>
          <w:lang w:val="en-US" w:eastAsia="zh-CN"/>
        </w:rPr>
        <w:t>9</w:t>
      </w:r>
      <w:r>
        <w:rPr>
          <w:rFonts w:hint="eastAsia" w:ascii="宋体" w:cs="Arial"/>
          <w:color w:val="FF0000"/>
          <w:sz w:val="24"/>
        </w:rPr>
        <w:t>年</w:t>
      </w:r>
      <w:r>
        <w:rPr>
          <w:rFonts w:hint="eastAsia" w:ascii="宋体" w:cs="Arial"/>
          <w:color w:val="FF0000"/>
          <w:sz w:val="24"/>
          <w:lang w:val="en-US" w:eastAsia="zh-CN"/>
        </w:rPr>
        <w:t>1</w:t>
      </w:r>
      <w:r>
        <w:rPr>
          <w:rFonts w:hint="eastAsia" w:ascii="宋体" w:cs="Arial"/>
          <w:color w:val="FF0000"/>
          <w:sz w:val="24"/>
        </w:rPr>
        <w:t>月份以来任意连续三个月的依法缴纳税收证明材料和社会保障资金缴纳证明材料，新成立企业从成立之日起计算）；</w:t>
      </w:r>
    </w:p>
    <w:p>
      <w:pPr>
        <w:pStyle w:val="2"/>
        <w:rPr>
          <w:rFonts w:hint="eastAsia" w:ascii="宋体" w:cs="Arial"/>
          <w:color w:val="auto"/>
        </w:rPr>
      </w:pPr>
      <w:r>
        <w:rPr>
          <w:rFonts w:hint="eastAsia" w:ascii="宋体" w:cs="Arial"/>
          <w:color w:val="auto"/>
        </w:rPr>
        <w:t xml:space="preserve">    </w:t>
      </w:r>
      <w:r>
        <w:rPr>
          <w:rFonts w:ascii="宋体" w:cs="Arial"/>
          <w:color w:val="auto"/>
        </w:rPr>
        <w:t>（</w:t>
      </w:r>
      <w:r>
        <w:rPr>
          <w:rFonts w:hint="eastAsia" w:ascii="宋体" w:cs="Arial"/>
          <w:color w:val="auto"/>
          <w:lang w:val="en-US" w:eastAsia="zh-CN"/>
        </w:rPr>
        <w:t>4</w:t>
      </w:r>
      <w:r>
        <w:rPr>
          <w:rFonts w:ascii="宋体" w:cs="Arial"/>
          <w:color w:val="auto"/>
        </w:rPr>
        <w:t xml:space="preserve">）参加政府采购活动近三年内（采购公告发布日的前三年内），在经营活动中无重大违法记录的书面声明； </w:t>
      </w:r>
    </w:p>
    <w:p>
      <w:pPr>
        <w:pStyle w:val="2"/>
        <w:rPr>
          <w:rFonts w:hint="eastAsia" w:ascii="宋体" w:cs="Arial"/>
          <w:color w:val="auto"/>
        </w:rPr>
      </w:pPr>
      <w:r>
        <w:rPr>
          <w:rFonts w:hint="eastAsia" w:ascii="宋体" w:cs="Arial"/>
          <w:color w:val="auto"/>
        </w:rPr>
        <w:t xml:space="preserve">    </w:t>
      </w:r>
      <w:r>
        <w:rPr>
          <w:rFonts w:ascii="宋体" w:cs="Arial"/>
          <w:color w:val="auto"/>
        </w:rPr>
        <w:t>（</w:t>
      </w:r>
      <w:r>
        <w:rPr>
          <w:rFonts w:hint="eastAsia" w:ascii="宋体" w:cs="Arial"/>
          <w:color w:val="auto"/>
          <w:lang w:val="en-US" w:eastAsia="zh-CN"/>
        </w:rPr>
        <w:t>5</w:t>
      </w:r>
      <w:r>
        <w:rPr>
          <w:rFonts w:ascii="宋体" w:cs="Arial"/>
          <w:color w:val="auto"/>
        </w:rPr>
        <w:t xml:space="preserve">）企业在“信用中国”http://www.creditchina.gov.cn/和“中国政府采购网” http://www.ccgp.gov.cn/网站最新查询截图； </w:t>
      </w:r>
    </w:p>
    <w:p>
      <w:pPr>
        <w:spacing w:line="560" w:lineRule="exact"/>
        <w:ind w:firstLine="420" w:firstLineChars="200"/>
        <w:rPr>
          <w:rFonts w:hint="eastAsia" w:ascii="宋体" w:cs="Arial"/>
          <w:color w:val="auto"/>
          <w:sz w:val="24"/>
        </w:rPr>
      </w:pPr>
      <w:r>
        <w:rPr>
          <w:rFonts w:hint="eastAsia" w:ascii="宋体" w:cs="Arial"/>
          <w:color w:val="auto"/>
        </w:rPr>
        <w:t xml:space="preserve"> </w:t>
      </w:r>
      <w:r>
        <w:rPr>
          <w:rFonts w:ascii="宋体" w:cs="Arial"/>
          <w:color w:val="auto"/>
          <w:sz w:val="24"/>
        </w:rPr>
        <w:t>（</w:t>
      </w:r>
      <w:r>
        <w:rPr>
          <w:rFonts w:hint="eastAsia" w:ascii="宋体" w:cs="Arial"/>
          <w:color w:val="auto"/>
          <w:sz w:val="24"/>
          <w:lang w:val="en-US" w:eastAsia="zh-CN"/>
        </w:rPr>
        <w:t>6</w:t>
      </w:r>
      <w:r>
        <w:rPr>
          <w:rFonts w:ascii="宋体" w:cs="Arial"/>
          <w:color w:val="auto"/>
          <w:sz w:val="24"/>
        </w:rPr>
        <w:t>）</w:t>
      </w:r>
      <w:r>
        <w:rPr>
          <w:rFonts w:hint="eastAsia" w:ascii="宋体" w:cs="Arial"/>
          <w:color w:val="auto"/>
          <w:sz w:val="24"/>
        </w:rPr>
        <w:t>法定代表人身份证或授权委托书及被授权人身份证。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2019年9月9</w:t>
      </w:r>
      <w:bookmarkStart w:id="15" w:name="_GoBack"/>
      <w:bookmarkEnd w:id="15"/>
      <w:r>
        <w:rPr>
          <w:rFonts w:hint="eastAsia" w:ascii="仿宋_GB2312" w:eastAsia="仿宋_GB2312"/>
          <w:b/>
          <w:color w:val="C00000"/>
          <w:sz w:val="28"/>
          <w:szCs w:val="28"/>
          <w:lang w:val="en-US" w:eastAsia="zh-CN"/>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both"/>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pStyle w:val="2"/>
        <w:rPr>
          <w:rFonts w:hint="eastAsia" w:eastAsia="黑体"/>
          <w:lang w:eastAsia="zh-CN"/>
        </w:rPr>
      </w:pPr>
      <w:r>
        <w:rPr>
          <w:rFonts w:hint="eastAsia" w:ascii="黑体" w:hAnsi="黑体" w:eastAsia="黑体" w:cs="黑体"/>
          <w:sz w:val="32"/>
          <w:szCs w:val="32"/>
          <w:lang w:eastAsia="zh-CN"/>
        </w:rPr>
        <w:t>标一评分细则如下：</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hint="eastAsia"/>
                <w:lang w:eastAsia="zh-CN"/>
              </w:rPr>
            </w:pPr>
            <w:r>
              <w:rPr>
                <w:rFonts w:hint="eastAsia"/>
                <w:lang w:eastAsia="zh-CN"/>
              </w:rPr>
              <w:t>报价</w:t>
            </w:r>
          </w:p>
          <w:p>
            <w:pPr>
              <w:pStyle w:val="2"/>
              <w:rPr>
                <w:rFonts w:hint="default"/>
                <w:lang w:val="en-US" w:eastAsia="zh-CN"/>
              </w:rPr>
            </w:pPr>
            <w:r>
              <w:rPr>
                <w:rFonts w:hint="eastAsia" w:ascii="宋体" w:hAnsi="宋体" w:cs="宋体"/>
                <w:color w:val="000000" w:themeColor="text1"/>
                <w:szCs w:val="21"/>
                <w:lang w:val="en-US" w:eastAsia="zh-CN"/>
                <w14:textFill>
                  <w14:solidFill>
                    <w14:schemeClr w14:val="tx1"/>
                  </w14:solidFill>
                </w14:textFill>
              </w:rPr>
              <w:t xml:space="preserve">  30分</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before="120" w:after="120" w:line="360"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vMerge w:val="restart"/>
            <w:vAlign w:val="center"/>
          </w:tcPr>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p>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35分</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工艺质量</w:t>
            </w:r>
            <w:r>
              <w:rPr>
                <w:rFonts w:hint="eastAsia" w:ascii="宋体" w:hAnsi="宋体" w:cs="宋体"/>
                <w:color w:val="000000" w:themeColor="text1"/>
                <w:szCs w:val="21"/>
                <w14:textFill>
                  <w14:solidFill>
                    <w14:schemeClr w14:val="tx1"/>
                  </w14:solidFill>
                </w14:textFill>
              </w:rPr>
              <w:t>：</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numPr>
                <w:ilvl w:val="0"/>
                <w:numId w:val="7"/>
              </w:numPr>
              <w:spacing w:line="360" w:lineRule="auto"/>
              <w:jc w:val="left"/>
              <w:rPr>
                <w:rFonts w:hint="eastAsia"/>
                <w:lang w:val="en-US" w:eastAsia="zh-CN"/>
              </w:rPr>
            </w:pPr>
            <w:r>
              <w:rPr>
                <w:rFonts w:hint="eastAsia"/>
                <w:lang w:val="en-US" w:eastAsia="zh-CN"/>
              </w:rPr>
              <w:t>工艺质量包括镜架对称，焊点工艺精致，表面光洁，镜腿开张灵活，超轻，得（10-15）分</w:t>
            </w:r>
          </w:p>
          <w:p>
            <w:pPr>
              <w:pStyle w:val="2"/>
              <w:numPr>
                <w:ilvl w:val="0"/>
                <w:numId w:val="7"/>
              </w:numPr>
              <w:rPr>
                <w:rFonts w:hint="default"/>
                <w:lang w:val="en-US" w:eastAsia="zh-CN"/>
              </w:rPr>
            </w:pPr>
            <w:r>
              <w:rPr>
                <w:rFonts w:hint="eastAsia"/>
                <w:lang w:val="en-US" w:eastAsia="zh-CN"/>
              </w:rPr>
              <w:t>存在以上一处缺陷，较好：得（6-10）分</w:t>
            </w:r>
          </w:p>
          <w:p>
            <w:pPr>
              <w:pStyle w:val="2"/>
              <w:numPr>
                <w:ilvl w:val="0"/>
                <w:numId w:val="7"/>
              </w:numPr>
              <w:rPr>
                <w:rFonts w:hint="default"/>
                <w:lang w:val="en-US" w:eastAsia="zh-CN"/>
              </w:rPr>
            </w:pPr>
            <w:r>
              <w:rPr>
                <w:rFonts w:hint="eastAsia"/>
                <w:lang w:val="en-US" w:eastAsia="zh-CN"/>
              </w:rPr>
              <w:t>存在两处以上缺陷，差：得（1-6）分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2424" w:type="dxa"/>
            <w:vAlign w:val="center"/>
          </w:tcPr>
          <w:p>
            <w:pPr>
              <w:spacing w:before="120" w:after="12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款式</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分）</w:t>
            </w:r>
          </w:p>
        </w:tc>
        <w:tc>
          <w:tcPr>
            <w:tcW w:w="4810" w:type="dxa"/>
          </w:tcPr>
          <w:p>
            <w:pPr>
              <w:numPr>
                <w:ilvl w:val="0"/>
                <w:numId w:val="8"/>
              </w:numPr>
              <w:spacing w:before="120" w:after="120" w:line="360" w:lineRule="auto"/>
              <w:rPr>
                <w:rFonts w:hint="eastAsia"/>
                <w:lang w:val="en-US" w:eastAsia="zh-CN"/>
              </w:rPr>
            </w:pPr>
            <w:r>
              <w:rPr>
                <w:rFonts w:hint="eastAsia"/>
                <w:lang w:val="en-US" w:eastAsia="zh-CN"/>
              </w:rPr>
              <w:t>款式新颖，样品齐全，佩戴舒适度好：得（12-17）分</w:t>
            </w:r>
          </w:p>
          <w:p>
            <w:pPr>
              <w:pStyle w:val="2"/>
              <w:numPr>
                <w:ilvl w:val="0"/>
                <w:numId w:val="8"/>
              </w:numPr>
              <w:rPr>
                <w:rFonts w:hint="default"/>
                <w:lang w:val="en-US" w:eastAsia="zh-CN"/>
              </w:rPr>
            </w:pPr>
            <w:r>
              <w:rPr>
                <w:rFonts w:hint="eastAsia"/>
                <w:lang w:val="en-US" w:eastAsia="zh-CN"/>
              </w:rPr>
              <w:t>款式较新颖，样品较齐全，佩戴舒适度较好：得（7-12）分</w:t>
            </w:r>
          </w:p>
          <w:p>
            <w:pPr>
              <w:pStyle w:val="2"/>
              <w:numPr>
                <w:ilvl w:val="0"/>
                <w:numId w:val="8"/>
              </w:numPr>
              <w:rPr>
                <w:rFonts w:hint="default"/>
                <w:lang w:val="en-US" w:eastAsia="zh-CN"/>
              </w:rPr>
            </w:pPr>
            <w:r>
              <w:rPr>
                <w:rFonts w:hint="eastAsia"/>
                <w:lang w:val="en-US" w:eastAsia="zh-CN"/>
              </w:rPr>
              <w:t>款式一般，样品较少，佩戴舒适度一般：得（1-6）分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vMerge w:val="continue"/>
            <w:vAlign w:val="center"/>
          </w:tcPr>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p>
        </w:tc>
        <w:tc>
          <w:tcPr>
            <w:tcW w:w="2424" w:type="dxa"/>
            <w:vAlign w:val="center"/>
          </w:tcPr>
          <w:p>
            <w:pPr>
              <w:spacing w:before="120" w:after="120" w:line="360" w:lineRule="auto"/>
              <w:ind w:firstLine="210" w:firstLineChars="100"/>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配件质量（</w:t>
            </w:r>
            <w:r>
              <w:rPr>
                <w:rFonts w:hint="eastAsia" w:ascii="宋体" w:hAnsi="宋体" w:cs="宋体"/>
                <w:color w:val="000000" w:themeColor="text1"/>
                <w:szCs w:val="21"/>
                <w:lang w:val="en-US" w:eastAsia="zh-CN"/>
                <w14:textFill>
                  <w14:solidFill>
                    <w14:schemeClr w14:val="tx1"/>
                  </w14:solidFill>
                </w14:textFill>
              </w:rPr>
              <w:t>3分</w:t>
            </w:r>
            <w:r>
              <w:rPr>
                <w:rFonts w:hint="eastAsia" w:ascii="宋体" w:hAnsi="宋体" w:cs="宋体"/>
                <w:color w:val="000000" w:themeColor="text1"/>
                <w:szCs w:val="21"/>
                <w:lang w:eastAsia="zh-CN"/>
                <w14:textFill>
                  <w14:solidFill>
                    <w14:schemeClr w14:val="tx1"/>
                  </w14:solidFill>
                </w14:textFill>
              </w:rPr>
              <w:t>）</w:t>
            </w:r>
          </w:p>
        </w:tc>
        <w:tc>
          <w:tcPr>
            <w:tcW w:w="4810" w:type="dxa"/>
          </w:tcPr>
          <w:p>
            <w:pPr>
              <w:pStyle w:val="2"/>
              <w:numPr>
                <w:ilvl w:val="0"/>
                <w:numId w:val="9"/>
              </w:numPr>
              <w:rPr>
                <w:rFonts w:hint="eastAsia"/>
                <w:lang w:val="en-US" w:eastAsia="zh-CN"/>
              </w:rPr>
            </w:pPr>
            <w:r>
              <w:rPr>
                <w:rFonts w:hint="eastAsia"/>
                <w:lang w:val="en-US" w:eastAsia="zh-CN"/>
              </w:rPr>
              <w:t>鼻托对称，螺丝松紧度高，配件材质优得3分</w:t>
            </w:r>
          </w:p>
          <w:p>
            <w:pPr>
              <w:pStyle w:val="2"/>
              <w:numPr>
                <w:ilvl w:val="0"/>
                <w:numId w:val="9"/>
              </w:numPr>
              <w:rPr>
                <w:rFonts w:hint="default"/>
                <w:lang w:val="en-US" w:eastAsia="zh-CN"/>
              </w:rPr>
            </w:pPr>
            <w:r>
              <w:rPr>
                <w:rFonts w:hint="eastAsia"/>
                <w:lang w:val="en-US" w:eastAsia="zh-CN"/>
              </w:rPr>
              <w:t>存在以上以上一处缺陷，良得1.5分</w:t>
            </w:r>
          </w:p>
          <w:p>
            <w:pPr>
              <w:pStyle w:val="2"/>
              <w:numPr>
                <w:ilvl w:val="0"/>
                <w:numId w:val="9"/>
              </w:numPr>
              <w:rPr>
                <w:rFonts w:hint="default"/>
                <w:lang w:val="en-US" w:eastAsia="zh-CN"/>
              </w:rPr>
            </w:pPr>
            <w:r>
              <w:rPr>
                <w:rFonts w:hint="eastAsia"/>
                <w:lang w:val="en-US" w:eastAsia="zh-CN"/>
              </w:rPr>
              <w:t>存在两处缺陷，差得0分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486" w:type="dxa"/>
            <w:vMerge w:val="restart"/>
            <w:vAlign w:val="center"/>
          </w:tcPr>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r>
              <w:rPr>
                <w:rFonts w:hint="eastAsia" w:ascii="宋体" w:hAnsi="宋体" w:cs="宋体"/>
                <w:color w:val="000000" w:themeColor="text1"/>
                <w:szCs w:val="21"/>
                <w:lang w:val="en-US" w:eastAsia="zh-CN"/>
                <w14:textFill>
                  <w14:solidFill>
                    <w14:schemeClr w14:val="tx1"/>
                  </w14:solidFill>
                </w14:textFill>
              </w:rPr>
              <w:t>15分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在人员、资金等方面具有较强的支持能力得</w:t>
            </w:r>
            <w:r>
              <w:rPr>
                <w:rFonts w:hint="eastAsia" w:ascii="宋体" w:hAnsi="宋体" w:cs="宋体"/>
                <w:color w:val="000000" w:themeColor="text1"/>
                <w:kern w:val="0"/>
                <w:szCs w:val="21"/>
                <w:lang w:val="en-US" w:eastAsia="zh-CN"/>
                <w14:textFill>
                  <w14:solidFill>
                    <w14:schemeClr w14:val="tx1"/>
                  </w14:solidFill>
                </w14:textFill>
              </w:rPr>
              <w:t>5分，一般得2-4分，较差得1-2分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86"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1486" w:type="dxa"/>
            <w:vAlign w:val="center"/>
          </w:tcPr>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eastAsia="zh-CN"/>
                <w14:textFill>
                  <w14:solidFill>
                    <w14:schemeClr w14:val="tx1"/>
                  </w14:solidFill>
                </w14:textFill>
              </w:rPr>
              <w:t>方案</w:t>
            </w:r>
          </w:p>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2"/>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结合医院实际情况制定服务方案（含售后服务内容）。其中：</w:t>
            </w:r>
          </w:p>
          <w:p>
            <w:pPr>
              <w:pStyle w:val="12"/>
              <w:widowControl w:val="0"/>
              <w:numPr>
                <w:ilvl w:val="0"/>
                <w:numId w:val="10"/>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方案具体详细，可操作性强，贴合医院实际情况得20分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方案可操作性强，能够满足医院一般需求得15分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方案一般得10分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方案不够详细具体的得5分</w:t>
            </w:r>
          </w:p>
        </w:tc>
      </w:tr>
    </w:tbl>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eastAsia="黑体"/>
          <w:lang w:eastAsia="zh-CN"/>
        </w:rPr>
      </w:pPr>
      <w:r>
        <w:rPr>
          <w:rFonts w:hint="eastAsia" w:ascii="黑体" w:hAnsi="黑体" w:eastAsia="黑体" w:cs="黑体"/>
          <w:sz w:val="32"/>
          <w:szCs w:val="32"/>
          <w:lang w:eastAsia="zh-CN"/>
        </w:rPr>
        <w:t>标二评分细则如下：</w:t>
      </w:r>
    </w:p>
    <w:tbl>
      <w:tblPr>
        <w:tblStyle w:val="7"/>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vAlign w:val="center"/>
          </w:tcPr>
          <w:p>
            <w:pPr>
              <w:spacing w:before="120" w:after="120" w:line="360" w:lineRule="auto"/>
              <w:jc w:val="center"/>
              <w:rPr>
                <w:rFonts w:hint="eastAsia"/>
                <w:lang w:eastAsia="zh-CN"/>
              </w:rPr>
            </w:pPr>
            <w:r>
              <w:rPr>
                <w:rFonts w:hint="eastAsia"/>
                <w:lang w:eastAsia="zh-CN"/>
              </w:rPr>
              <w:t>报价</w:t>
            </w:r>
          </w:p>
          <w:p>
            <w:pPr>
              <w:pStyle w:val="2"/>
              <w:rPr>
                <w:rFonts w:hint="default"/>
                <w:lang w:val="en-US" w:eastAsia="zh-CN"/>
              </w:rPr>
            </w:pPr>
            <w:r>
              <w:rPr>
                <w:rFonts w:hint="eastAsia" w:ascii="宋体" w:hAnsi="宋体" w:cs="宋体"/>
                <w:color w:val="000000" w:themeColor="text1"/>
                <w:szCs w:val="21"/>
                <w:lang w:val="en-US" w:eastAsia="zh-CN"/>
                <w14:textFill>
                  <w14:solidFill>
                    <w14:schemeClr w14:val="tx1"/>
                  </w14:solidFill>
                </w14:textFill>
              </w:rPr>
              <w:t>35分</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before="120" w:after="120" w:line="360" w:lineRule="auto"/>
              <w:ind w:firstLine="420" w:firstLineChars="20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35</w:t>
            </w:r>
          </w:p>
          <w:p>
            <w:pPr>
              <w:spacing w:before="120" w:after="120" w:line="360" w:lineRule="auto"/>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vMerge w:val="restart"/>
            <w:vAlign w:val="center"/>
          </w:tcPr>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p>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20分</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品牌知名度</w:t>
            </w:r>
            <w:r>
              <w:rPr>
                <w:rFonts w:hint="eastAsia" w:ascii="宋体" w:hAnsi="宋体" w:cs="宋体"/>
                <w:color w:val="000000" w:themeColor="text1"/>
                <w:szCs w:val="21"/>
                <w14:textFill>
                  <w14:solidFill>
                    <w14:schemeClr w14:val="tx1"/>
                  </w14:solidFill>
                </w14:textFill>
              </w:rPr>
              <w:t>：</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2"/>
              <w:numPr>
                <w:ilvl w:val="0"/>
                <w:numId w:val="0"/>
              </w:numPr>
              <w:rPr>
                <w:rFonts w:hint="default"/>
                <w:lang w:val="en-US" w:eastAsia="zh-CN"/>
              </w:rPr>
            </w:pPr>
            <w:r>
              <w:rPr>
                <w:rFonts w:hint="eastAsia"/>
                <w:lang w:val="en-US" w:eastAsia="zh-CN"/>
              </w:rPr>
              <w:t>根据产品的品牌知名度在0-5的范围内打分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9" w:hRule="atLeast"/>
          <w:jc w:val="center"/>
        </w:trPr>
        <w:tc>
          <w:tcPr>
            <w:tcW w:w="1486"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2424" w:type="dxa"/>
            <w:vAlign w:val="center"/>
          </w:tcPr>
          <w:p>
            <w:pPr>
              <w:spacing w:before="120" w:after="120" w:line="360" w:lineRule="auto"/>
              <w:ind w:firstLine="420" w:firstLineChars="200"/>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lang w:val="en-US" w:eastAsia="zh-CN"/>
                <w14:textFill>
                  <w14:solidFill>
                    <w14:schemeClr w14:val="tx1"/>
                  </w14:solidFill>
                </w14:textFill>
              </w:rPr>
              <w:t>15分</w:t>
            </w:r>
            <w:r>
              <w:rPr>
                <w:rFonts w:hint="eastAsia" w:ascii="宋体" w:hAnsi="宋体" w:cs="宋体"/>
                <w:color w:val="000000" w:themeColor="text1"/>
                <w:szCs w:val="21"/>
                <w:lang w:eastAsia="zh-CN"/>
                <w14:textFill>
                  <w14:solidFill>
                    <w14:schemeClr w14:val="tx1"/>
                  </w14:solidFill>
                </w14:textFill>
              </w:rPr>
              <w:t>）</w:t>
            </w:r>
          </w:p>
        </w:tc>
        <w:tc>
          <w:tcPr>
            <w:tcW w:w="4810" w:type="dxa"/>
          </w:tcPr>
          <w:p>
            <w:pPr>
              <w:pStyle w:val="2"/>
              <w:numPr>
                <w:ilvl w:val="0"/>
                <w:numId w:val="0"/>
              </w:numPr>
              <w:rPr>
                <w:rFonts w:hint="default"/>
                <w:lang w:val="en-US" w:eastAsia="zh-CN"/>
              </w:rPr>
            </w:pPr>
            <w:r>
              <w:rPr>
                <w:rFonts w:hint="eastAsia"/>
                <w:lang w:val="en-US" w:eastAsia="zh-CN"/>
              </w:rPr>
              <w:t>根据同种镜片的不同折射率、透视率、融合性等综合情况在0-15的范围内打分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486" w:type="dxa"/>
            <w:vMerge w:val="restart"/>
            <w:vAlign w:val="center"/>
          </w:tcPr>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r>
              <w:rPr>
                <w:rFonts w:hint="eastAsia" w:ascii="宋体" w:hAnsi="宋体" w:cs="宋体"/>
                <w:color w:val="000000" w:themeColor="text1"/>
                <w:szCs w:val="21"/>
                <w:lang w:val="en-US" w:eastAsia="zh-CN"/>
                <w14:textFill>
                  <w14:solidFill>
                    <w14:schemeClr w14:val="tx1"/>
                  </w14:solidFill>
                </w14:textFill>
              </w:rPr>
              <w:t>15分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在人员、资金等方面具有较强的支持能力得</w:t>
            </w:r>
            <w:r>
              <w:rPr>
                <w:rFonts w:hint="eastAsia" w:ascii="宋体" w:hAnsi="宋体" w:cs="宋体"/>
                <w:color w:val="000000" w:themeColor="text1"/>
                <w:kern w:val="0"/>
                <w:szCs w:val="21"/>
                <w:lang w:val="en-US" w:eastAsia="zh-CN"/>
                <w14:textFill>
                  <w14:solidFill>
                    <w14:schemeClr w14:val="tx1"/>
                  </w14:solidFill>
                </w14:textFill>
              </w:rPr>
              <w:t>5分，一般得2-4分，较差得1-2分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486"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1486" w:type="dxa"/>
            <w:vAlign w:val="center"/>
          </w:tcPr>
          <w:p>
            <w:pPr>
              <w:spacing w:before="120" w:after="120" w:line="360" w:lineRule="auto"/>
              <w:jc w:val="center"/>
              <w:rPr>
                <w:rFonts w:hint="eastAsia" w:ascii="宋体" w:hAnsi="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r>
              <w:rPr>
                <w:rFonts w:hint="eastAsia" w:ascii="宋体" w:hAnsi="宋体" w:cs="宋体"/>
                <w:color w:val="000000" w:themeColor="text1"/>
                <w:szCs w:val="21"/>
                <w:lang w:eastAsia="zh-CN"/>
                <w14:textFill>
                  <w14:solidFill>
                    <w14:schemeClr w14:val="tx1"/>
                  </w14:solidFill>
                </w14:textFill>
              </w:rPr>
              <w:t>方案</w:t>
            </w:r>
          </w:p>
          <w:p>
            <w:pPr>
              <w:spacing w:before="120" w:after="120" w:line="360" w:lineRule="auto"/>
              <w:jc w:val="center"/>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25分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2"/>
              <w:widowControl w:val="0"/>
              <w:spacing w:before="120" w:after="120" w:line="360" w:lineRule="auto"/>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结合医院实际情况制定服务方案（含售后服务内容）。其中：</w:t>
            </w:r>
          </w:p>
          <w:p>
            <w:pPr>
              <w:pStyle w:val="12"/>
              <w:widowControl w:val="0"/>
              <w:numPr>
                <w:ilvl w:val="0"/>
                <w:numId w:val="10"/>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方案具体详细，可操作性强，贴合医院实际情况得25分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方案可操作性强，能够满足医院一般需求得15分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方案一般得10分</w:t>
            </w:r>
          </w:p>
          <w:p>
            <w:pPr>
              <w:pStyle w:val="12"/>
              <w:widowControl w:val="0"/>
              <w:numPr>
                <w:ilvl w:val="0"/>
                <w:numId w:val="10"/>
              </w:numPr>
              <w:spacing w:before="120" w:after="120" w:line="360" w:lineRule="auto"/>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方案不够详细具体的得5分</w:t>
            </w:r>
          </w:p>
        </w:tc>
      </w:tr>
    </w:tbl>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甲方:____________(以下简称甲方)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乙方:____________(以下简称乙方)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为了共同发展，加强甲、乙双方的业务合作关系，经双方共同协商，本着“平等发展、互惠互利”的原则，达成如下协议: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一、业务关系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24"/>
          <w:szCs w:val="24"/>
        </w:rPr>
        <w:t>甲方确定乙方为其</w:t>
      </w:r>
      <w:r>
        <w:rPr>
          <w:rFonts w:hint="eastAsia" w:ascii="微软雅黑" w:hAnsi="微软雅黑" w:eastAsia="微软雅黑" w:cs="微软雅黑"/>
          <w:i w:val="0"/>
          <w:caps w:val="0"/>
          <w:color w:val="333333"/>
          <w:spacing w:val="0"/>
          <w:sz w:val="24"/>
          <w:szCs w:val="24"/>
          <w:lang w:val="en-US" w:eastAsia="zh-CN"/>
        </w:rPr>
        <w:t xml:space="preserve"> 眼科镜框/镜片 </w:t>
      </w:r>
      <w:r>
        <w:rPr>
          <w:rFonts w:hint="eastAsia" w:ascii="微软雅黑" w:hAnsi="微软雅黑" w:eastAsia="微软雅黑" w:cs="微软雅黑"/>
          <w:i w:val="0"/>
          <w:caps w:val="0"/>
          <w:color w:val="333333"/>
          <w:spacing w:val="0"/>
          <w:sz w:val="24"/>
          <w:szCs w:val="24"/>
        </w:rPr>
        <w:t>指定供应商，</w:t>
      </w:r>
      <w:r>
        <w:rPr>
          <w:rFonts w:hint="eastAsia" w:ascii="微软雅黑" w:hAnsi="微软雅黑" w:eastAsia="微软雅黑" w:cs="微软雅黑"/>
          <w:i w:val="0"/>
          <w:caps w:val="0"/>
          <w:color w:val="333333"/>
          <w:spacing w:val="0"/>
          <w:sz w:val="24"/>
          <w:szCs w:val="24"/>
          <w:lang w:eastAsia="zh-CN"/>
        </w:rPr>
        <w:t>甲方在服务期范围内使用销售乙方所供品牌产品。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二、产品范围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sz w:val="24"/>
          <w:szCs w:val="24"/>
        </w:rPr>
        <w:t>乙方品牌的所有</w:t>
      </w:r>
      <w:r>
        <w:rPr>
          <w:rFonts w:hint="eastAsia" w:ascii="微软雅黑" w:hAnsi="微软雅黑" w:eastAsia="微软雅黑" w:cs="微软雅黑"/>
          <w:i w:val="0"/>
          <w:caps w:val="0"/>
          <w:color w:val="333333"/>
          <w:spacing w:val="0"/>
          <w:sz w:val="24"/>
          <w:szCs w:val="24"/>
          <w:lang w:eastAsia="zh-CN"/>
        </w:rPr>
        <w:t>镜框</w:t>
      </w:r>
      <w:r>
        <w:rPr>
          <w:rFonts w:hint="eastAsia" w:ascii="微软雅黑" w:hAnsi="微软雅黑" w:eastAsia="微软雅黑" w:cs="微软雅黑"/>
          <w:i w:val="0"/>
          <w:caps w:val="0"/>
          <w:color w:val="333333"/>
          <w:spacing w:val="0"/>
          <w:sz w:val="24"/>
          <w:szCs w:val="24"/>
          <w:lang w:val="en-US" w:eastAsia="zh-CN"/>
        </w:rPr>
        <w:t>/镜片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三、供货价格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1、经双方协商，乙方向甲方提供的所有</w:t>
      </w:r>
      <w:r>
        <w:rPr>
          <w:rFonts w:hint="eastAsia" w:ascii="微软雅黑" w:hAnsi="微软雅黑" w:eastAsia="微软雅黑" w:cs="微软雅黑"/>
          <w:i w:val="0"/>
          <w:caps w:val="0"/>
          <w:color w:val="333333"/>
          <w:spacing w:val="0"/>
          <w:sz w:val="24"/>
          <w:szCs w:val="24"/>
          <w:lang w:eastAsia="zh-CN"/>
        </w:rPr>
        <w:t>镜框</w:t>
      </w:r>
      <w:r>
        <w:rPr>
          <w:rFonts w:hint="eastAsia" w:ascii="微软雅黑" w:hAnsi="微软雅黑" w:eastAsia="微软雅黑" w:cs="微软雅黑"/>
          <w:i w:val="0"/>
          <w:caps w:val="0"/>
          <w:color w:val="333333"/>
          <w:spacing w:val="0"/>
          <w:sz w:val="24"/>
          <w:szCs w:val="24"/>
          <w:lang w:val="en-US" w:eastAsia="zh-CN"/>
        </w:rPr>
        <w:t>/镜片</w:t>
      </w:r>
      <w:r>
        <w:rPr>
          <w:rFonts w:hint="eastAsia" w:ascii="微软雅黑" w:hAnsi="微软雅黑" w:eastAsia="微软雅黑" w:cs="微软雅黑"/>
          <w:i w:val="0"/>
          <w:caps w:val="0"/>
          <w:color w:val="333333"/>
          <w:spacing w:val="0"/>
          <w:sz w:val="24"/>
          <w:szCs w:val="24"/>
        </w:rPr>
        <w:t>价格均按_____%打折，打折后的价格不能高于市场价。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2、甲乙双方将按年度(或季度)定价，并参照河南省同类产品市场价格。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4、按照以上三条定价原则，经双方协商后，价格在本协议中定为_____。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四、质量要求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乙方向甲方提供的产品应符合国家标准要求。或经双方一致确认，本合同约定之产品应达到的质量标准为:_________________________。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五、付款方式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甲乙双方协商后，确定付款方式为:__________现金或汇款等方式_____。甲乙双方要求的付款条件为__________先付一部分定金，定金为货款的_____%，验货后再付另一部分；或者这个月付上个月的货款。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六、配送服务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甲方所需产品每批金额_____元以上时由乙方免费送至甲方所在地仓库，或承担物流等运输费用，其每批金额_____元以下时由甲方自行从乙方经销商处提取或承担物流等运输费用。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七、违约责任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1、甲方每月超过最高欠款额度部分的欠款及未按约定期限付款的，由甲方承担延期付款的违约金，违约金以每月5、1‰计算。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3、乙方所供产品因设计、制造、质量等原因，引起生产上的所有损失或事故，由乙方承担相应的责任，并赔偿相应的经济损失。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4、如因市场原因造成乙方降价后，乙方未及时通知甲方，则视为乙方违约，并由乙方补偿三倍的差价。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八、争议的解决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在履行本协议及具体购货合同过程中，如发生争议，则双方协商解决；如协商不成，双方均同意在甲方所在地人民法院采取诉讼方式解决。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九、协议生效及其它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1、本协议经双方授权代表签字盖章后立即生效。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2、本协议有效期至_____年_____月_____日，期满后重新协商续约事宜及条款。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3、本协议条款的任何变更、修改或增减，须经双方协商后授权代表签署书面文件，作为本协议的组成部分并具有同等法律效力。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4、本协议中任何未尽适宜，双方将以友好方式解决。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5、本协议一式二份，甲乙双方各执一份，每份具有同等法律效力。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甲方:____________乙方:____________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代表人:____________代表人:____________</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rPr>
        <w:t>签订日期:____________</w:t>
      </w: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7"/>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与需求清单一致，可另附需求清单之外的产品报价（报价要求产品采购价、代销价、供货价和市场推荐价）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571"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等资质文件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介绍</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包括款式设计、材质、特点、买点、目标推销人群等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产品服务方案</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产品彩页</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10762"/>
      <w:bookmarkStart w:id="2" w:name="_Toc258360269"/>
      <w:bookmarkStart w:id="3" w:name="_Toc337475854"/>
      <w:bookmarkStart w:id="4" w:name="_Toc9548"/>
      <w:bookmarkStart w:id="5" w:name="_Toc17030"/>
      <w:bookmarkStart w:id="6" w:name="_Toc320878640"/>
      <w:bookmarkStart w:id="7" w:name="_Toc304219257"/>
      <w:bookmarkStart w:id="8" w:name="_Toc15313"/>
      <w:bookmarkStart w:id="9" w:name="_Toc261708863"/>
      <w:bookmarkStart w:id="10" w:name="_Toc258360158"/>
      <w:bookmarkStart w:id="11" w:name="_Toc258354146"/>
      <w:bookmarkStart w:id="12" w:name="_Toc258333636"/>
      <w:bookmarkStart w:id="13" w:name="_Toc219626747"/>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both"/>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pStyle w:val="2"/>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9BC15"/>
    <w:multiLevelType w:val="singleLevel"/>
    <w:tmpl w:val="81A9BC15"/>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B7B41381"/>
    <w:multiLevelType w:val="singleLevel"/>
    <w:tmpl w:val="B7B41381"/>
    <w:lvl w:ilvl="0" w:tentative="0">
      <w:start w:val="1"/>
      <w:numFmt w:val="decimal"/>
      <w:lvlText w:val="%1."/>
      <w:lvlJc w:val="left"/>
      <w:pPr>
        <w:tabs>
          <w:tab w:val="left" w:pos="312"/>
        </w:tabs>
      </w:p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E706483F"/>
    <w:multiLevelType w:val="singleLevel"/>
    <w:tmpl w:val="E706483F"/>
    <w:lvl w:ilvl="0" w:tentative="0">
      <w:start w:val="1"/>
      <w:numFmt w:val="decimal"/>
      <w:lvlText w:val="%1."/>
      <w:lvlJc w:val="left"/>
      <w:pPr>
        <w:tabs>
          <w:tab w:val="left" w:pos="312"/>
        </w:tabs>
      </w:pPr>
    </w:lvl>
  </w:abstractNum>
  <w:abstractNum w:abstractNumId="6">
    <w:nsid w:val="F5F59E80"/>
    <w:multiLevelType w:val="singleLevel"/>
    <w:tmpl w:val="F5F59E80"/>
    <w:lvl w:ilvl="0" w:tentative="0">
      <w:start w:val="1"/>
      <w:numFmt w:val="decimal"/>
      <w:suff w:val="space"/>
      <w:lvlText w:val="%1."/>
      <w:lvlJc w:val="left"/>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5B8F8F45"/>
    <w:multiLevelType w:val="singleLevel"/>
    <w:tmpl w:val="5B8F8F45"/>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9"/>
  </w:num>
  <w:num w:numId="3">
    <w:abstractNumId w:val="4"/>
  </w:num>
  <w:num w:numId="4">
    <w:abstractNumId w:val="3"/>
  </w:num>
  <w:num w:numId="5">
    <w:abstractNumId w:val="1"/>
  </w:num>
  <w:num w:numId="6">
    <w:abstractNumId w:val="6"/>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0B69D3"/>
    <w:rsid w:val="005A3F93"/>
    <w:rsid w:val="00713407"/>
    <w:rsid w:val="00AB4A84"/>
    <w:rsid w:val="00AF7E12"/>
    <w:rsid w:val="00CE1A27"/>
    <w:rsid w:val="00D47DAF"/>
    <w:rsid w:val="03C05FE9"/>
    <w:rsid w:val="05422F5C"/>
    <w:rsid w:val="09984B6B"/>
    <w:rsid w:val="0B9D1095"/>
    <w:rsid w:val="0E9016D0"/>
    <w:rsid w:val="0E93621F"/>
    <w:rsid w:val="111B0067"/>
    <w:rsid w:val="114C35D9"/>
    <w:rsid w:val="1194471D"/>
    <w:rsid w:val="12A11F66"/>
    <w:rsid w:val="14682D8B"/>
    <w:rsid w:val="16A35C46"/>
    <w:rsid w:val="17D81E85"/>
    <w:rsid w:val="188744A6"/>
    <w:rsid w:val="1C900C49"/>
    <w:rsid w:val="1D995826"/>
    <w:rsid w:val="1E4C6245"/>
    <w:rsid w:val="1F1176E1"/>
    <w:rsid w:val="1FB541BF"/>
    <w:rsid w:val="218F56D6"/>
    <w:rsid w:val="21CE45A2"/>
    <w:rsid w:val="245F44FD"/>
    <w:rsid w:val="24FE3AD7"/>
    <w:rsid w:val="25471F93"/>
    <w:rsid w:val="25E13CF1"/>
    <w:rsid w:val="2643733F"/>
    <w:rsid w:val="264A511E"/>
    <w:rsid w:val="278E5521"/>
    <w:rsid w:val="288B4898"/>
    <w:rsid w:val="2E576A08"/>
    <w:rsid w:val="2F632DBF"/>
    <w:rsid w:val="31AA76E3"/>
    <w:rsid w:val="33F956F6"/>
    <w:rsid w:val="380A4EF7"/>
    <w:rsid w:val="384A7AD5"/>
    <w:rsid w:val="3AFF292C"/>
    <w:rsid w:val="3B2A4846"/>
    <w:rsid w:val="3B5373B6"/>
    <w:rsid w:val="3BCD73C8"/>
    <w:rsid w:val="3DF82D1F"/>
    <w:rsid w:val="44B67130"/>
    <w:rsid w:val="486D7AF7"/>
    <w:rsid w:val="4B9C1C97"/>
    <w:rsid w:val="4FCE5CD6"/>
    <w:rsid w:val="57162389"/>
    <w:rsid w:val="57575861"/>
    <w:rsid w:val="57B722F4"/>
    <w:rsid w:val="60794199"/>
    <w:rsid w:val="615523A0"/>
    <w:rsid w:val="64E26821"/>
    <w:rsid w:val="66016CC0"/>
    <w:rsid w:val="66306F84"/>
    <w:rsid w:val="665C670B"/>
    <w:rsid w:val="695C7637"/>
    <w:rsid w:val="6B0C4ED6"/>
    <w:rsid w:val="6C186020"/>
    <w:rsid w:val="6CD8518D"/>
    <w:rsid w:val="6ECA7999"/>
    <w:rsid w:val="70593223"/>
    <w:rsid w:val="777D42E3"/>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semiHidden/>
    <w:unhideWhenUsed/>
    <w:qFormat/>
    <w:uiPriority w:val="99"/>
    <w:rPr>
      <w:rFonts w:ascii="微软雅黑" w:hAnsi="微软雅黑" w:eastAsia="微软雅黑" w:cs="微软雅黑"/>
      <w:color w:val="02396F"/>
      <w:u w:val="single"/>
    </w:rPr>
  </w:style>
  <w:style w:type="character" w:styleId="11">
    <w:name w:val="annotation reference"/>
    <w:basedOn w:val="9"/>
    <w:qFormat/>
    <w:uiPriority w:val="0"/>
    <w:rPr>
      <w:sz w:val="21"/>
      <w:szCs w:val="21"/>
    </w:rPr>
  </w:style>
  <w:style w:type="paragraph" w:customStyle="1" w:styleId="12">
    <w:name w:val="Normal_3"/>
    <w:qFormat/>
    <w:uiPriority w:val="0"/>
    <w:rPr>
      <w:rFonts w:ascii="Times New Roman" w:hAnsi="Times New Roman" w:eastAsia="Times New Roman" w:cs="Times New Roman"/>
      <w:sz w:val="24"/>
      <w:szCs w:val="24"/>
      <w:lang w:val="en-US" w:eastAsia="zh-CN" w:bidi="ar-SA"/>
    </w:rPr>
  </w:style>
  <w:style w:type="character" w:customStyle="1" w:styleId="13">
    <w:name w:val="页脚 字符"/>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25</TotalTime>
  <ScaleCrop>false</ScaleCrop>
  <LinksUpToDate>false</LinksUpToDate>
  <CharactersWithSpaces>7752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2019-08-27T07:38:08Z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