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b/>
          <w:bCs/>
          <w:sz w:val="32"/>
          <w:szCs w:val="32"/>
        </w:rPr>
      </w:pPr>
      <w:r>
        <w:rPr>
          <w:rFonts w:hint="eastAsia" w:ascii="黑体" w:hAnsi="黑体" w:eastAsia="黑体"/>
          <w:b/>
          <w:bCs/>
          <w:sz w:val="32"/>
          <w:szCs w:val="32"/>
        </w:rPr>
        <w:t>风险分级管控与隐患排查治理</w:t>
      </w:r>
    </w:p>
    <w:p>
      <w:pPr>
        <w:jc w:val="center"/>
        <w:rPr>
          <w:rFonts w:ascii="黑体" w:hAnsi="黑体" w:eastAsia="黑体"/>
          <w:b/>
          <w:bCs/>
          <w:sz w:val="48"/>
          <w:szCs w:val="48"/>
        </w:rPr>
      </w:pPr>
      <w:r>
        <w:rPr>
          <w:rFonts w:hint="eastAsia" w:ascii="黑体" w:hAnsi="黑体" w:eastAsia="黑体"/>
          <w:b/>
          <w:bCs/>
          <w:sz w:val="32"/>
          <w:szCs w:val="32"/>
        </w:rPr>
        <w:t>双重预防体系建设和信息化平台搭建项目招标公告</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ascii="黑体" w:hAnsi="黑体" w:eastAsia="黑体" w:cs="黑体"/>
          <w:sz w:val="44"/>
          <w:szCs w:val="44"/>
        </w:rPr>
      </w:pPr>
      <w:r>
        <w:rPr>
          <w:rFonts w:hint="eastAsia" w:ascii="黑体" w:hAnsi="黑体" w:eastAsia="黑体" w:cs="黑体"/>
          <w:sz w:val="44"/>
          <w:szCs w:val="44"/>
        </w:rPr>
        <w:t>时  间：</w:t>
      </w:r>
    </w:p>
    <w:p>
      <w:pPr>
        <w:ind w:firstLine="320" w:firstLineChars="100"/>
        <w:rPr>
          <w:rFonts w:hint="eastAsia" w:ascii="黑体" w:hAnsi="黑体" w:eastAsia="黑体" w:cs="黑体"/>
          <w:sz w:val="32"/>
          <w:szCs w:val="3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黑体" w:eastAsia="黑体"/>
          <w:sz w:val="32"/>
          <w:szCs w:val="32"/>
        </w:rPr>
        <w:t>新郑市公立人民医院风险分级管控与隐患排查治理双重预防体系建设和信息化平台搭建项目</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spacing w:line="500" w:lineRule="exact"/>
        <w:ind w:firstLine="640" w:firstLineChars="200"/>
        <w:rPr>
          <w:rFonts w:ascii="仿宋" w:hAnsi="仿宋" w:eastAsia="仿宋" w:cs="仿宋"/>
          <w:sz w:val="32"/>
          <w:szCs w:val="32"/>
        </w:rPr>
      </w:pPr>
      <w:r>
        <w:rPr>
          <w:rFonts w:hint="eastAsia" w:ascii="仿宋_GB2312" w:eastAsia="仿宋_GB2312"/>
          <w:sz w:val="32"/>
          <w:szCs w:val="32"/>
        </w:rPr>
        <w:t>项目要求：</w:t>
      </w:r>
      <w:r>
        <w:rPr>
          <w:rFonts w:hint="eastAsia" w:ascii="仿宋" w:hAnsi="仿宋" w:eastAsia="仿宋" w:cs="仿宋"/>
          <w:sz w:val="32"/>
          <w:szCs w:val="32"/>
        </w:rPr>
        <w:t>1、风险分级管控与隐患排查治理双重预防体系系统工具，需实现本院安全（消防）风险、隐患的动态管理，满足单位内部的业务流转，不同管理层级查看、编辑不同级别的数据权限。</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2、风险分级管控系统模块，以层层落实企业主体责任为目的，需实现风险对象批量导入功能，对辨识出的风险需提供标准的评价分级方法。风险辨识评估后，需自动生成风险四色图，四色图根据风险的变化实时变化。辨识评价的风险可自动生成风险清单并支持一键导出，软件工具支持风险情况培训、学习。</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3、隐患排查治理系统模块，以方便快捷的形式实现隐患的PDCA闭环管理，需具有电脑端和移动端。分级管控模块风险的管控措施需作为现场管理类隐患排查的标准，同时有基础管理类隐患排查标准的批量上传功能。可以自定义隐患的类型，并根据隐患类型进行统计分析。具备日常隐患排查任务自动向对应岗位推送的功能，隐患的排查、治理、验收需在线实现业务流转，实现无纸化办公。</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4、安全信息公示平台，风险分级管控和隐患排查治理双重预防体系软件工具在满足日常安全管理的同时，需输出一个监管平台（不含硬件）。监管平台有风险四色图信息，需实现风险、隐患信息的多维度统计分析，并对重大风险信息进行公示。</w:t>
      </w:r>
    </w:p>
    <w:tbl>
      <w:tblPr>
        <w:tblStyle w:val="6"/>
        <w:tblpPr w:leftFromText="180" w:rightFromText="180" w:vertAnchor="text" w:horzAnchor="page" w:tblpXSpec="center" w:tblpY="25"/>
        <w:tblOverlap w:val="never"/>
        <w:tblW w:w="9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2163"/>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Align w:val="center"/>
          </w:tcPr>
          <w:p>
            <w:pPr>
              <w:jc w:val="center"/>
              <w:rPr>
                <w:rFonts w:hint="eastAsia"/>
                <w:b/>
                <w:bCs/>
              </w:rPr>
            </w:pPr>
            <w:r>
              <w:rPr>
                <w:rFonts w:hint="eastAsia"/>
                <w:b/>
                <w:bCs/>
              </w:rPr>
              <w:t>模块</w:t>
            </w:r>
          </w:p>
        </w:tc>
        <w:tc>
          <w:tcPr>
            <w:tcW w:w="2163" w:type="dxa"/>
            <w:vAlign w:val="center"/>
          </w:tcPr>
          <w:p>
            <w:pPr>
              <w:jc w:val="center"/>
              <w:rPr>
                <w:rFonts w:hint="eastAsia"/>
                <w:b/>
                <w:bCs/>
              </w:rPr>
            </w:pPr>
            <w:r>
              <w:rPr>
                <w:rFonts w:hint="eastAsia"/>
                <w:b/>
                <w:bCs/>
              </w:rPr>
              <w:t>子模块</w:t>
            </w:r>
          </w:p>
        </w:tc>
        <w:tc>
          <w:tcPr>
            <w:tcW w:w="5587" w:type="dxa"/>
            <w:vAlign w:val="center"/>
          </w:tcPr>
          <w:p>
            <w:pPr>
              <w:jc w:val="center"/>
              <w:rPr>
                <w:rFonts w:hint="eastAsia"/>
                <w:b/>
                <w:bCs/>
              </w:rPr>
            </w:pPr>
            <w:r>
              <w:rPr>
                <w:rFonts w:hint="eastAsia"/>
                <w:b/>
                <w:bCs/>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1483" w:type="dxa"/>
            <w:vMerge w:val="restart"/>
            <w:vAlign w:val="center"/>
          </w:tcPr>
          <w:p>
            <w:pPr>
              <w:jc w:val="center"/>
              <w:rPr>
                <w:rFonts w:hint="eastAsia"/>
                <w:b/>
                <w:bCs/>
              </w:rPr>
            </w:pPr>
            <w:r>
              <w:rPr>
                <w:rFonts w:hint="eastAsia"/>
              </w:rPr>
              <w:t>系统首页</w:t>
            </w:r>
          </w:p>
        </w:tc>
        <w:tc>
          <w:tcPr>
            <w:tcW w:w="2163" w:type="dxa"/>
            <w:vAlign w:val="center"/>
          </w:tcPr>
          <w:p>
            <w:pPr>
              <w:jc w:val="center"/>
              <w:rPr>
                <w:rFonts w:hint="eastAsia"/>
              </w:rPr>
            </w:pPr>
            <w:r>
              <w:rPr>
                <w:rFonts w:hint="eastAsia"/>
              </w:rPr>
              <w:t>安全指标统计</w:t>
            </w:r>
          </w:p>
        </w:tc>
        <w:tc>
          <w:tcPr>
            <w:tcW w:w="5587" w:type="dxa"/>
          </w:tcPr>
          <w:p>
            <w:pPr>
              <w:rPr>
                <w:rFonts w:hint="eastAsia"/>
              </w:rPr>
            </w:pPr>
            <w:r>
              <w:rPr>
                <w:rFonts w:hint="eastAsia"/>
              </w:rPr>
              <w:t>展示各个系统的核心指标数据；</w:t>
            </w:r>
          </w:p>
          <w:p>
            <w:pPr>
              <w:rPr>
                <w:rFonts w:hint="eastAsia"/>
              </w:rPr>
            </w:pPr>
            <w:r>
              <w:rPr>
                <w:rFonts w:hint="eastAsia"/>
              </w:rPr>
              <w:t>分项的指标：风险数量（按级别划分）、隐患（安全隐患、消防隐患）数量。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通知公告</w:t>
            </w:r>
          </w:p>
        </w:tc>
        <w:tc>
          <w:tcPr>
            <w:tcW w:w="5587" w:type="dxa"/>
          </w:tcPr>
          <w:p>
            <w:pPr>
              <w:rPr>
                <w:rFonts w:hint="eastAsia"/>
              </w:rPr>
            </w:pPr>
            <w:r>
              <w:rPr>
                <w:rFonts w:hint="eastAsia"/>
              </w:rPr>
              <w:t>在线发布通知公告，管理公告，可直接在线编辑公告内容，支持图片显示。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8" w:hRule="atLeast"/>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待办事项</w:t>
            </w:r>
          </w:p>
        </w:tc>
        <w:tc>
          <w:tcPr>
            <w:tcW w:w="5587" w:type="dxa"/>
          </w:tcPr>
          <w:p>
            <w:pPr>
              <w:rPr>
                <w:rFonts w:hint="eastAsia"/>
              </w:rPr>
            </w:pPr>
            <w:r>
              <w:rPr>
                <w:rFonts w:hint="eastAsia"/>
              </w:rPr>
              <w:t>显示业务待办，待办事项以列表的形式展示。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483" w:type="dxa"/>
            <w:vMerge w:val="restart"/>
            <w:vAlign w:val="center"/>
          </w:tcPr>
          <w:p>
            <w:pPr>
              <w:jc w:val="center"/>
              <w:rPr>
                <w:rFonts w:hint="eastAsia"/>
              </w:rPr>
            </w:pPr>
            <w:r>
              <w:rPr>
                <w:rFonts w:hint="eastAsia"/>
              </w:rPr>
              <w:t>系统设置</w:t>
            </w:r>
          </w:p>
        </w:tc>
        <w:tc>
          <w:tcPr>
            <w:tcW w:w="2163" w:type="dxa"/>
            <w:vAlign w:val="center"/>
          </w:tcPr>
          <w:p>
            <w:pPr>
              <w:jc w:val="center"/>
              <w:rPr>
                <w:rFonts w:hint="eastAsia"/>
              </w:rPr>
            </w:pPr>
            <w:r>
              <w:rPr>
                <w:rFonts w:hint="eastAsia"/>
              </w:rPr>
              <w:t>用户管理</w:t>
            </w:r>
          </w:p>
        </w:tc>
        <w:tc>
          <w:tcPr>
            <w:tcW w:w="5587" w:type="dxa"/>
            <w:vAlign w:val="center"/>
          </w:tcPr>
          <w:p>
            <w:pPr>
              <w:rPr>
                <w:rFonts w:hint="eastAsia"/>
              </w:rPr>
            </w:pPr>
            <w:bookmarkStart w:id="0" w:name="_Toc3"/>
            <w:r>
              <w:rPr>
                <w:rFonts w:hint="eastAsia"/>
              </w:rPr>
              <w:t>人员批量导入</w:t>
            </w:r>
            <w:bookmarkEnd w:id="0"/>
            <w:r>
              <w:rPr>
                <w:rFonts w:hint="eastAsia"/>
              </w:rPr>
              <w:t>；</w:t>
            </w:r>
          </w:p>
          <w:p>
            <w:pPr>
              <w:rPr>
                <w:rFonts w:hint="eastAsia"/>
              </w:rPr>
            </w:pPr>
            <w:bookmarkStart w:id="1" w:name="_Toc4"/>
            <w:r>
              <w:rPr>
                <w:rFonts w:hint="eastAsia"/>
              </w:rPr>
              <w:t>人员新增、删除、人员基础信息维护</w:t>
            </w:r>
            <w:bookmarkEnd w:id="1"/>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组织架构管理</w:t>
            </w:r>
          </w:p>
        </w:tc>
        <w:tc>
          <w:tcPr>
            <w:tcW w:w="5587" w:type="dxa"/>
            <w:vAlign w:val="center"/>
          </w:tcPr>
          <w:p>
            <w:pPr>
              <w:rPr>
                <w:rFonts w:hint="eastAsia"/>
              </w:rPr>
            </w:pPr>
            <w:bookmarkStart w:id="2" w:name="_Toc14"/>
            <w:r>
              <w:rPr>
                <w:rFonts w:hint="eastAsia"/>
              </w:rPr>
              <w:t>组织架构新增、删除、组织架构信息维护</w:t>
            </w:r>
            <w:bookmarkEnd w:id="2"/>
          </w:p>
          <w:p>
            <w:pPr>
              <w:rPr>
                <w:rFonts w:hint="eastAsia"/>
              </w:rPr>
            </w:pPr>
            <w:bookmarkStart w:id="3" w:name="_Toc15"/>
            <w:r>
              <w:rPr>
                <w:rFonts w:hint="eastAsia"/>
              </w:rPr>
              <w:t>组织架构人员管理</w:t>
            </w:r>
            <w:bookmarkEnd w:id="3"/>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483" w:type="dxa"/>
            <w:vMerge w:val="continue"/>
            <w:vAlign w:val="center"/>
          </w:tcPr>
          <w:p>
            <w:pPr>
              <w:jc w:val="center"/>
            </w:pPr>
          </w:p>
        </w:tc>
        <w:tc>
          <w:tcPr>
            <w:tcW w:w="2163" w:type="dxa"/>
            <w:vAlign w:val="center"/>
          </w:tcPr>
          <w:p>
            <w:pPr>
              <w:jc w:val="center"/>
              <w:rPr>
                <w:rFonts w:hint="eastAsia"/>
              </w:rPr>
            </w:pPr>
            <w:r>
              <w:rPr>
                <w:rFonts w:hint="eastAsia"/>
              </w:rPr>
              <w:t>权限管理</w:t>
            </w:r>
          </w:p>
        </w:tc>
        <w:tc>
          <w:tcPr>
            <w:tcW w:w="5587" w:type="dxa"/>
            <w:vAlign w:val="center"/>
          </w:tcPr>
          <w:p>
            <w:pPr>
              <w:rPr>
                <w:rFonts w:hint="eastAsia"/>
              </w:rPr>
            </w:pPr>
            <w:r>
              <w:rPr>
                <w:rFonts w:hint="eastAsia"/>
              </w:rPr>
              <w:t>创建角色、编辑、删除角色，根据不同角色赋予对应权限。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Merge w:val="restart"/>
            <w:vAlign w:val="center"/>
          </w:tcPr>
          <w:p>
            <w:pPr>
              <w:jc w:val="center"/>
              <w:rPr>
                <w:rFonts w:hint="eastAsia"/>
              </w:rPr>
            </w:pPr>
            <w:r>
              <w:rPr>
                <w:rFonts w:hint="eastAsia"/>
              </w:rPr>
              <w:t>风险分级管控</w:t>
            </w:r>
          </w:p>
        </w:tc>
        <w:tc>
          <w:tcPr>
            <w:tcW w:w="2163" w:type="dxa"/>
            <w:vAlign w:val="center"/>
          </w:tcPr>
          <w:p>
            <w:pPr>
              <w:jc w:val="center"/>
              <w:rPr>
                <w:rFonts w:hint="eastAsia"/>
              </w:rPr>
            </w:pPr>
            <w:r>
              <w:rPr>
                <w:rFonts w:hint="eastAsia"/>
              </w:rPr>
              <w:t>管控层级设置</w:t>
            </w:r>
          </w:p>
        </w:tc>
        <w:tc>
          <w:tcPr>
            <w:tcW w:w="5587" w:type="dxa"/>
            <w:vAlign w:val="center"/>
          </w:tcPr>
          <w:p>
            <w:pPr>
              <w:rPr>
                <w:rFonts w:hint="eastAsia"/>
              </w:rPr>
            </w:pPr>
            <w:r>
              <w:rPr>
                <w:rFonts w:hint="eastAsia"/>
              </w:rPr>
              <w:t>设置（不同级别风险的管控责任主体及级别（包括公司级、部门级、车间级、班组级、岗位级）。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风险评价方法设置</w:t>
            </w:r>
          </w:p>
        </w:tc>
        <w:tc>
          <w:tcPr>
            <w:tcW w:w="5587" w:type="dxa"/>
            <w:vAlign w:val="center"/>
          </w:tcPr>
          <w:p>
            <w:pPr>
              <w:rPr>
                <w:rFonts w:hint="eastAsia"/>
              </w:rPr>
            </w:pPr>
            <w:r>
              <w:rPr>
                <w:rFonts w:hint="eastAsia"/>
              </w:rPr>
              <w:t>设置（新增、编辑、保存、删除）LS、LEC、MES三种常用评价方法评价规则。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风险对象库</w:t>
            </w:r>
          </w:p>
        </w:tc>
        <w:tc>
          <w:tcPr>
            <w:tcW w:w="5587" w:type="dxa"/>
            <w:vAlign w:val="center"/>
          </w:tcPr>
          <w:p>
            <w:pPr>
              <w:rPr>
                <w:rFonts w:hint="eastAsia"/>
              </w:rPr>
            </w:pPr>
            <w:r>
              <w:rPr>
                <w:rFonts w:hint="eastAsia"/>
              </w:rPr>
              <w:t>提供风险对象库导入摸板，同时支持风险对象逐条录入。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风险分析评价</w:t>
            </w:r>
          </w:p>
        </w:tc>
        <w:tc>
          <w:tcPr>
            <w:tcW w:w="5587" w:type="dxa"/>
            <w:vAlign w:val="center"/>
          </w:tcPr>
          <w:p>
            <w:pPr>
              <w:rPr>
                <w:rFonts w:hint="eastAsia"/>
              </w:rPr>
            </w:pPr>
            <w:r>
              <w:rPr>
                <w:rFonts w:hint="eastAsia"/>
              </w:rPr>
              <w:t>建立（新增、删除、编辑）风险分析评价项目。包括分析评价开始、截止日期、分析人员分配、评价人员分配等。</w:t>
            </w:r>
          </w:p>
          <w:p>
            <w:pPr>
              <w:rPr>
                <w:rFonts w:hint="eastAsia"/>
              </w:rPr>
            </w:pPr>
            <w:r>
              <w:rPr>
                <w:rFonts w:hint="eastAsia"/>
              </w:rPr>
              <w:t>支持风险辨识、评价作业。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风险培训台账管理</w:t>
            </w:r>
          </w:p>
        </w:tc>
        <w:tc>
          <w:tcPr>
            <w:tcW w:w="5587" w:type="dxa"/>
            <w:vAlign w:val="center"/>
          </w:tcPr>
          <w:p>
            <w:pPr>
              <w:rPr>
                <w:rFonts w:hint="eastAsia"/>
              </w:rPr>
            </w:pPr>
            <w:r>
              <w:rPr>
                <w:rFonts w:hint="eastAsia"/>
              </w:rPr>
              <w:t>对已审核通过的风险进行培训告知。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风险统计</w:t>
            </w:r>
          </w:p>
        </w:tc>
        <w:tc>
          <w:tcPr>
            <w:tcW w:w="5587" w:type="dxa"/>
            <w:vAlign w:val="center"/>
          </w:tcPr>
          <w:p>
            <w:pPr>
              <w:rPr>
                <w:rFonts w:hint="eastAsia"/>
              </w:rPr>
            </w:pPr>
            <w:r>
              <w:rPr>
                <w:rFonts w:hint="eastAsia"/>
              </w:rPr>
              <w:t>按照区域、管辖部门、风险级别、时间、变化趋势等进行风险统计。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83" w:type="dxa"/>
            <w:vMerge w:val="restart"/>
            <w:vAlign w:val="center"/>
          </w:tcPr>
          <w:p>
            <w:pPr>
              <w:jc w:val="center"/>
              <w:rPr>
                <w:rFonts w:hint="eastAsia"/>
              </w:rPr>
            </w:pPr>
            <w:r>
              <w:rPr>
                <w:rFonts w:hint="eastAsia"/>
              </w:rPr>
              <w:t>隐患排查治理</w:t>
            </w:r>
          </w:p>
        </w:tc>
        <w:tc>
          <w:tcPr>
            <w:tcW w:w="2163" w:type="dxa"/>
            <w:vAlign w:val="center"/>
          </w:tcPr>
          <w:p>
            <w:pPr>
              <w:jc w:val="center"/>
              <w:rPr>
                <w:rFonts w:hint="eastAsia"/>
              </w:rPr>
            </w:pPr>
            <w:r>
              <w:rPr>
                <w:rFonts w:hint="eastAsia"/>
              </w:rPr>
              <w:t>隐患排查标准</w:t>
            </w:r>
          </w:p>
        </w:tc>
        <w:tc>
          <w:tcPr>
            <w:tcW w:w="5587" w:type="dxa"/>
            <w:vAlign w:val="center"/>
          </w:tcPr>
          <w:p>
            <w:pPr>
              <w:rPr>
                <w:rFonts w:hint="eastAsia"/>
              </w:rPr>
            </w:pPr>
            <w:r>
              <w:rPr>
                <w:rFonts w:hint="eastAsia"/>
              </w:rPr>
              <w:t>可批量上传安全类、消防类、职业健康类隐患排查标准，满足消防、职业健康的检查需求。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隐患排查定时任务</w:t>
            </w:r>
          </w:p>
        </w:tc>
        <w:tc>
          <w:tcPr>
            <w:tcW w:w="5587" w:type="dxa"/>
            <w:vAlign w:val="center"/>
          </w:tcPr>
          <w:p>
            <w:pPr>
              <w:rPr>
                <w:rFonts w:hint="eastAsia"/>
              </w:rPr>
            </w:pPr>
            <w:r>
              <w:rPr>
                <w:rFonts w:hint="eastAsia"/>
              </w:rPr>
              <w:t>定排查人、排查对象、定时推送隐患排查任务。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隐患类别设置</w:t>
            </w:r>
          </w:p>
        </w:tc>
        <w:tc>
          <w:tcPr>
            <w:tcW w:w="5587" w:type="dxa"/>
            <w:vAlign w:val="center"/>
          </w:tcPr>
          <w:p>
            <w:pPr>
              <w:rPr>
                <w:rFonts w:hint="eastAsia"/>
              </w:rPr>
            </w:pPr>
            <w:r>
              <w:rPr>
                <w:rFonts w:hint="eastAsia"/>
              </w:rPr>
              <w:t>设置隐患的类别，信息由用户填写，可供后面的计划排查、日常排查及隐患登记时选择和进行隐患统计等。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隐患排查计划建立</w:t>
            </w:r>
          </w:p>
        </w:tc>
        <w:tc>
          <w:tcPr>
            <w:tcW w:w="5587" w:type="dxa"/>
            <w:vAlign w:val="center"/>
          </w:tcPr>
          <w:p>
            <w:pPr>
              <w:rPr>
                <w:rFonts w:hint="eastAsia"/>
              </w:rPr>
            </w:pPr>
            <w:r>
              <w:rPr>
                <w:rFonts w:hint="eastAsia"/>
              </w:rPr>
              <w:t>可以建立排查计划，指定隐患排查人、责任单位、排查内容、选择排查周期、组织级别。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隐患登记</w:t>
            </w:r>
          </w:p>
        </w:tc>
        <w:tc>
          <w:tcPr>
            <w:tcW w:w="5587" w:type="dxa"/>
            <w:vAlign w:val="center"/>
          </w:tcPr>
          <w:p>
            <w:pPr>
              <w:rPr>
                <w:rFonts w:hint="eastAsia"/>
              </w:rPr>
            </w:pPr>
            <w:r>
              <w:rPr>
                <w:rFonts w:hint="eastAsia"/>
              </w:rPr>
              <w:t>在排查计划外发现的隐患可以随时填写隐患信息进行登记，包括隐患名称、隐患类别、隐患所属部门、隐患描述、隐患核查人等信息。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隐患核查</w:t>
            </w:r>
          </w:p>
        </w:tc>
        <w:tc>
          <w:tcPr>
            <w:tcW w:w="5587" w:type="dxa"/>
            <w:vAlign w:val="center"/>
          </w:tcPr>
          <w:p>
            <w:pPr>
              <w:rPr>
                <w:rFonts w:hint="eastAsia"/>
              </w:rPr>
            </w:pPr>
            <w:r>
              <w:rPr>
                <w:rFonts w:hint="eastAsia"/>
              </w:rPr>
              <w:t>隐患登记的信息流转到此模块，核查人填写核查意见，选择隐患整改人。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隐患整改</w:t>
            </w:r>
          </w:p>
        </w:tc>
        <w:tc>
          <w:tcPr>
            <w:tcW w:w="5587" w:type="dxa"/>
            <w:vAlign w:val="center"/>
          </w:tcPr>
          <w:p>
            <w:pPr>
              <w:rPr>
                <w:rFonts w:hint="eastAsia"/>
              </w:rPr>
            </w:pPr>
            <w:r>
              <w:rPr>
                <w:rFonts w:hint="eastAsia"/>
              </w:rPr>
              <w:t>如果不能及时整改的，可以申请延期整改。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隐患验收</w:t>
            </w:r>
          </w:p>
        </w:tc>
        <w:tc>
          <w:tcPr>
            <w:tcW w:w="5587" w:type="dxa"/>
            <w:vAlign w:val="center"/>
          </w:tcPr>
          <w:p>
            <w:pPr>
              <w:rPr>
                <w:rFonts w:hint="eastAsia"/>
              </w:rPr>
            </w:pPr>
            <w:r>
              <w:rPr>
                <w:rFonts w:hint="eastAsia"/>
              </w:rPr>
              <w:t>填写隐患验收意见，选择通过或者不通过，不通过的退回到隐患整改，整改完成后再次验收。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483" w:type="dxa"/>
            <w:vMerge w:val="continue"/>
            <w:vAlign w:val="center"/>
          </w:tcPr>
          <w:p>
            <w:pPr>
              <w:jc w:val="center"/>
              <w:rPr>
                <w:rFonts w:hint="eastAsia"/>
              </w:rPr>
            </w:pPr>
          </w:p>
        </w:tc>
        <w:tc>
          <w:tcPr>
            <w:tcW w:w="2163" w:type="dxa"/>
            <w:vAlign w:val="center"/>
          </w:tcPr>
          <w:p>
            <w:pPr>
              <w:jc w:val="center"/>
              <w:rPr>
                <w:rFonts w:hint="eastAsia"/>
              </w:rPr>
            </w:pPr>
            <w:r>
              <w:rPr>
                <w:rFonts w:hint="eastAsia"/>
              </w:rPr>
              <w:t>隐患统计</w:t>
            </w:r>
          </w:p>
        </w:tc>
        <w:tc>
          <w:tcPr>
            <w:tcW w:w="5587" w:type="dxa"/>
            <w:vAlign w:val="center"/>
          </w:tcPr>
          <w:p>
            <w:pPr>
              <w:rPr>
                <w:rFonts w:hint="eastAsia"/>
              </w:rPr>
            </w:pPr>
            <w:r>
              <w:rPr>
                <w:rFonts w:hint="eastAsia"/>
              </w:rPr>
              <w:t>统计维度：隐患类别、责任单位、区域、部门、变化趋势等。</w:t>
            </w:r>
          </w:p>
        </w:tc>
      </w:tr>
    </w:tbl>
    <w:p>
      <w:pPr>
        <w:spacing w:line="500" w:lineRule="exact"/>
        <w:ind w:firstLine="640" w:firstLineChars="200"/>
        <w:rPr>
          <w:rFonts w:ascii="仿宋" w:hAnsi="仿宋" w:eastAsia="仿宋" w:cs="仿宋"/>
          <w:sz w:val="32"/>
          <w:szCs w:val="32"/>
        </w:rPr>
      </w:pPr>
    </w:p>
    <w:p>
      <w:pPr>
        <w:widowControl/>
        <w:ind w:firstLine="640" w:firstLineChars="200"/>
        <w:jc w:val="left"/>
        <w:rPr>
          <w:rFonts w:ascii="黑体" w:eastAsia="黑体"/>
          <w:sz w:val="32"/>
          <w:szCs w:val="32"/>
        </w:rPr>
      </w:pPr>
      <w:r>
        <w:rPr>
          <w:rFonts w:hint="eastAsia" w:ascii="黑体" w:eastAsia="黑体"/>
          <w:sz w:val="32"/>
          <w:szCs w:val="32"/>
        </w:rPr>
        <w:t>服务期限：</w:t>
      </w:r>
      <w:r>
        <w:rPr>
          <w:rFonts w:hint="eastAsia" w:ascii="仿宋" w:hAnsi="仿宋" w:eastAsia="仿宋" w:cs="仿宋"/>
          <w:sz w:val="32"/>
          <w:szCs w:val="32"/>
        </w:rPr>
        <w:t>合同周期为1年，服务期满1年后,如需要进行升级或增加相应内容，由新郑市公立人民医院同中标方进行协商解决，或者由新郑市公立人民医院重新组织招投标，若重新招标，本次中标单位在同等条件下可优先续签合同；如不需要升级或增加相应内容，由新郑市公立人民医院同原中标单位续签服务合同。</w:t>
      </w:r>
    </w:p>
    <w:p>
      <w:pPr>
        <w:widowControl/>
        <w:ind w:firstLine="640" w:firstLineChars="200"/>
        <w:jc w:val="left"/>
        <w:rPr>
          <w:rFonts w:hint="eastAsia" w:ascii="仿宋" w:hAnsi="仿宋" w:eastAsia="仿宋" w:cs="仿宋"/>
          <w:sz w:val="32"/>
          <w:szCs w:val="32"/>
        </w:rPr>
      </w:pPr>
      <w:r>
        <w:rPr>
          <w:rFonts w:hint="eastAsia" w:ascii="黑体" w:eastAsia="黑体"/>
          <w:sz w:val="32"/>
          <w:szCs w:val="32"/>
        </w:rPr>
        <w:t>项目验收方式：</w:t>
      </w:r>
      <w:r>
        <w:rPr>
          <w:rFonts w:hint="eastAsia" w:ascii="仿宋" w:hAnsi="仿宋" w:eastAsia="仿宋" w:cs="仿宋"/>
          <w:sz w:val="32"/>
          <w:szCs w:val="32"/>
        </w:rPr>
        <w:t>30个工作日内完成风险分级管控与隐患排查治理双重预防体系建设和信息化平台搭建。</w:t>
      </w:r>
    </w:p>
    <w:p>
      <w:pPr>
        <w:widowControl/>
        <w:ind w:firstLine="640" w:firstLineChars="200"/>
        <w:jc w:val="left"/>
        <w:rPr>
          <w:rFonts w:ascii="仿宋_GB2312" w:eastAsia="仿宋_GB2312"/>
          <w:sz w:val="32"/>
          <w:szCs w:val="32"/>
        </w:rPr>
      </w:pP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预算资金</w:t>
      </w:r>
      <w:r>
        <w:rPr>
          <w:rFonts w:hint="eastAsia" w:ascii="仿宋_GB2312" w:eastAsia="仿宋_GB2312"/>
          <w:sz w:val="32"/>
          <w:szCs w:val="32"/>
        </w:rPr>
        <w:t>：</w:t>
      </w:r>
      <w:r>
        <w:rPr>
          <w:rFonts w:ascii="仿宋_GB2312" w:eastAsia="仿宋_GB2312"/>
          <w:sz w:val="32"/>
          <w:szCs w:val="32"/>
        </w:rPr>
        <w:t>19</w:t>
      </w:r>
      <w:r>
        <w:rPr>
          <w:rFonts w:hint="eastAsia" w:ascii="仿宋_GB2312" w:eastAsia="仿宋_GB2312"/>
          <w:sz w:val="32"/>
          <w:szCs w:val="32"/>
        </w:rPr>
        <w:t>0000元</w:t>
      </w:r>
    </w:p>
    <w:p>
      <w:pPr>
        <w:widowControl/>
        <w:rPr>
          <w:rFonts w:ascii="仿宋_GB2312" w:eastAsia="仿宋_GB2312"/>
          <w:sz w:val="32"/>
          <w:szCs w:val="32"/>
        </w:rPr>
      </w:pPr>
      <w:r>
        <w:rPr>
          <w:rFonts w:ascii="仿宋_GB2312" w:eastAsia="仿宋_GB2312"/>
          <w:sz w:val="32"/>
          <w:szCs w:val="32"/>
        </w:rPr>
        <w:t xml:space="preserve"> </w:t>
      </w:r>
    </w:p>
    <w:p>
      <w:pPr>
        <w:spacing w:line="560" w:lineRule="exact"/>
        <w:ind w:firstLine="640" w:firstLineChars="200"/>
        <w:rPr>
          <w:rFonts w:ascii="黑体" w:eastAsia="黑体"/>
          <w:sz w:val="32"/>
          <w:szCs w:val="32"/>
        </w:rPr>
      </w:pPr>
      <w:r>
        <w:rPr>
          <w:rFonts w:hint="eastAsia" w:ascii="黑体" w:eastAsia="黑体"/>
          <w:sz w:val="32"/>
          <w:szCs w:val="32"/>
        </w:rPr>
        <w:t>三、供应商资格要求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2、供应商须在中华人民共和国境内依法登记注册，具有独立法人资格。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3、投标人注册资金需在5</w:t>
      </w:r>
      <w:r>
        <w:rPr>
          <w:rFonts w:ascii="仿宋_GB2312" w:eastAsia="仿宋_GB2312"/>
          <w:sz w:val="32"/>
          <w:szCs w:val="32"/>
        </w:rPr>
        <w:t>0</w:t>
      </w:r>
      <w:r>
        <w:rPr>
          <w:rFonts w:hint="eastAsia" w:ascii="仿宋_GB2312" w:eastAsia="仿宋_GB2312"/>
          <w:sz w:val="32"/>
          <w:szCs w:val="32"/>
        </w:rPr>
        <w:t>万元以上，具有履行合同所必需的信息化管理系统和专业技术能力。</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1、报名时间：</w:t>
      </w:r>
      <w:r>
        <w:rPr>
          <w:rFonts w:hint="eastAsia" w:ascii="仿宋_GB2312" w:eastAsia="仿宋_GB2312"/>
          <w:color w:val="C00000"/>
          <w:sz w:val="32"/>
          <w:szCs w:val="32"/>
        </w:rPr>
        <w:t>2019年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日至2019年</w:t>
      </w:r>
      <w:r>
        <w:rPr>
          <w:rFonts w:ascii="仿宋_GB2312" w:eastAsia="仿宋_GB2312"/>
          <w:color w:val="C00000"/>
          <w:sz w:val="32"/>
          <w:szCs w:val="32"/>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ascii="仿宋_GB2312" w:eastAsia="仿宋_GB2312"/>
          <w:color w:val="C00000"/>
          <w:sz w:val="32"/>
          <w:szCs w:val="32"/>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color w:val="C00000"/>
          <w:sz w:val="32"/>
          <w:szCs w:val="32"/>
        </w:rPr>
        <w:t>原件及复印件一份。法人授权证书以及被授权人身份证，产品授权书。</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28"/>
          <w:szCs w:val="28"/>
        </w:rPr>
      </w:pPr>
      <w:r>
        <w:rPr>
          <w:rFonts w:hint="eastAsia" w:ascii="仿宋_GB2312" w:eastAsia="仿宋_GB2312"/>
          <w:b/>
          <w:sz w:val="32"/>
          <w:szCs w:val="32"/>
        </w:rPr>
        <w:t>评审时间：</w:t>
      </w:r>
      <w:r>
        <w:rPr>
          <w:rFonts w:hint="eastAsia" w:ascii="仿宋_GB2312" w:eastAsia="仿宋_GB2312"/>
          <w:b/>
          <w:color w:val="C00000"/>
          <w:sz w:val="28"/>
          <w:szCs w:val="28"/>
        </w:rPr>
        <w:t>2019年</w:t>
      </w:r>
      <w:r>
        <w:rPr>
          <w:rFonts w:hint="eastAsia" w:ascii="仿宋_GB2312" w:eastAsia="仿宋_GB2312"/>
          <w:b/>
          <w:color w:val="C00000"/>
          <w:sz w:val="28"/>
          <w:szCs w:val="28"/>
          <w:lang w:val="en-US" w:eastAsia="zh-CN"/>
        </w:rPr>
        <w:t>6</w:t>
      </w:r>
      <w:r>
        <w:rPr>
          <w:rFonts w:hint="eastAsia" w:ascii="仿宋_GB2312" w:eastAsia="仿宋_GB2312"/>
          <w:b/>
          <w:color w:val="C00000"/>
          <w:sz w:val="28"/>
          <w:szCs w:val="28"/>
        </w:rPr>
        <w:t>月</w:t>
      </w:r>
      <w:r>
        <w:rPr>
          <w:rFonts w:hint="eastAsia" w:ascii="仿宋_GB2312" w:eastAsia="仿宋_GB2312"/>
          <w:b/>
          <w:color w:val="C00000"/>
          <w:sz w:val="28"/>
          <w:szCs w:val="28"/>
          <w:lang w:val="en-US" w:eastAsia="zh-CN"/>
        </w:rPr>
        <w:t>19</w:t>
      </w:r>
      <w:bookmarkStart w:id="19" w:name="_GoBack"/>
      <w:bookmarkEnd w:id="19"/>
      <w:r>
        <w:rPr>
          <w:rFonts w:hint="eastAsia" w:ascii="仿宋_GB2312" w:eastAsia="仿宋_GB2312"/>
          <w:b/>
          <w:color w:val="C00000"/>
          <w:sz w:val="28"/>
          <w:szCs w:val="28"/>
        </w:rPr>
        <w:t>日 14:20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rPr>
          <w:rFonts w:hint="eastAsia"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p>
    <w:p>
      <w:pPr>
        <w:jc w:val="center"/>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6"/>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349"/>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349"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8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49"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85"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34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85"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349"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85"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85"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指导安装、调试及试运行、操作等技术；优秀得3-4分，一般得2-3分，较差得0-2分。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85"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拟派服务人员业务素质、工作能力；优秀得5-7分，一般得3-5分，较差得0-3分。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85"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明确服务范围、质量标准、服务响应时间；优秀得4-6分，一般得2-4分，较差得0-2分。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85"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85"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紧急情况的处理方案；优秀得3-5分，一般得2-3分，较差得0-2分。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349"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85" w:type="dxa"/>
            <w:vAlign w:val="center"/>
          </w:tcPr>
          <w:p>
            <w:pPr>
              <w:autoSpaceDE w:val="0"/>
              <w:autoSpaceDN w:val="0"/>
              <w:adjustRightInd w:val="0"/>
              <w:spacing w:before="120" w:after="120"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349"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85"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349"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85" w:type="dxa"/>
            <w:vAlign w:val="center"/>
          </w:tcPr>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80" w:firstLineChars="200"/>
        <w:rPr>
          <w:rFonts w:hint="eastAsia" w:ascii="黑体" w:hAnsi="黑体" w:eastAsia="黑体" w:cs="黑体"/>
          <w:sz w:val="24"/>
          <w:szCs w:val="24"/>
        </w:rPr>
      </w:pPr>
      <w:r>
        <w:rPr>
          <w:rFonts w:hint="eastAsia" w:ascii="黑体" w:hAnsi="黑体" w:eastAsia="黑体" w:cs="黑体"/>
          <w:sz w:val="24"/>
          <w:szCs w:val="24"/>
        </w:rPr>
        <w:t>法定代表人或负责人：_________</w:t>
      </w:r>
    </w:p>
    <w:p>
      <w:pPr>
        <w:rPr>
          <w:rFonts w:hint="eastAsia" w:ascii="黑体" w:hAnsi="黑体" w:eastAsia="黑体" w:cs="黑体"/>
          <w:sz w:val="24"/>
          <w:szCs w:val="24"/>
        </w:rPr>
      </w:pPr>
      <w:r>
        <w:rPr>
          <w:rFonts w:hint="eastAsia" w:ascii="黑体" w:hAnsi="黑体" w:eastAsia="黑体" w:cs="黑体"/>
          <w:sz w:val="24"/>
          <w:szCs w:val="24"/>
        </w:rPr>
        <w:t>　　服务方（以下称乙方）：_________</w:t>
      </w:r>
    </w:p>
    <w:p>
      <w:pPr>
        <w:rPr>
          <w:rFonts w:hint="eastAsia" w:ascii="黑体" w:hAnsi="黑体" w:eastAsia="黑体" w:cs="黑体"/>
          <w:sz w:val="24"/>
          <w:szCs w:val="24"/>
        </w:rPr>
      </w:pPr>
      <w:r>
        <w:rPr>
          <w:rFonts w:hint="eastAsia" w:ascii="黑体" w:hAnsi="黑体" w:eastAsia="黑体" w:cs="黑体"/>
          <w:sz w:val="24"/>
          <w:szCs w:val="24"/>
        </w:rPr>
        <w:t>　　法定代表人或负责人：_________</w:t>
      </w:r>
    </w:p>
    <w:p>
      <w:pPr>
        <w:rPr>
          <w:rFonts w:hint="eastAsia" w:ascii="黑体" w:hAnsi="黑体" w:eastAsia="黑体" w:cs="黑体"/>
          <w:sz w:val="24"/>
          <w:szCs w:val="24"/>
        </w:rPr>
      </w:pPr>
      <w:r>
        <w:rPr>
          <w:rFonts w:hint="eastAsia" w:ascii="黑体" w:hAnsi="黑体" w:eastAsia="黑体" w:cs="黑体"/>
          <w:sz w:val="24"/>
          <w:szCs w:val="24"/>
        </w:rPr>
        <w:t>　　第一条　项目名称</w:t>
      </w:r>
    </w:p>
    <w:p>
      <w:pPr>
        <w:rPr>
          <w:rFonts w:hint="eastAsia" w:ascii="黑体" w:hAnsi="黑体" w:eastAsia="黑体" w:cs="黑体"/>
          <w:sz w:val="24"/>
          <w:szCs w:val="24"/>
        </w:rPr>
      </w:pPr>
      <w:r>
        <w:rPr>
          <w:rFonts w:hint="eastAsia" w:ascii="黑体" w:hAnsi="黑体" w:eastAsia="黑体" w:cs="黑体"/>
          <w:sz w:val="24"/>
          <w:szCs w:val="24"/>
        </w:rPr>
        <w:t>　　_________。</w:t>
      </w:r>
    </w:p>
    <w:p>
      <w:pPr>
        <w:rPr>
          <w:rFonts w:hint="eastAsia" w:ascii="黑体" w:hAnsi="黑体" w:eastAsia="黑体" w:cs="黑体"/>
          <w:sz w:val="24"/>
          <w:szCs w:val="24"/>
        </w:rPr>
      </w:pPr>
      <w:r>
        <w:rPr>
          <w:rFonts w:hint="eastAsia" w:ascii="黑体" w:hAnsi="黑体" w:eastAsia="黑体" w:cs="黑体"/>
          <w:sz w:val="24"/>
          <w:szCs w:val="24"/>
        </w:rPr>
        <w:t>　　第二条　服务内容、方式和要求</w:t>
      </w:r>
    </w:p>
    <w:p>
      <w:pPr>
        <w:rPr>
          <w:rFonts w:hint="eastAsia" w:ascii="黑体" w:hAnsi="黑体" w:eastAsia="黑体" w:cs="黑体"/>
          <w:sz w:val="24"/>
          <w:szCs w:val="24"/>
        </w:rPr>
      </w:pPr>
      <w:r>
        <w:rPr>
          <w:rFonts w:hint="eastAsia" w:ascii="黑体" w:hAnsi="黑体" w:eastAsia="黑体" w:cs="黑体"/>
          <w:sz w:val="24"/>
          <w:szCs w:val="24"/>
        </w:rPr>
        <w:t>　　1．服务内容：</w:t>
      </w:r>
    </w:p>
    <w:p>
      <w:pPr>
        <w:rPr>
          <w:rFonts w:hint="eastAsia" w:ascii="黑体" w:hAnsi="黑体" w:eastAsia="黑体" w:cs="黑体"/>
          <w:sz w:val="24"/>
          <w:szCs w:val="24"/>
        </w:rPr>
      </w:pPr>
      <w:r>
        <w:rPr>
          <w:rFonts w:hint="eastAsia" w:ascii="黑体" w:hAnsi="黑体" w:eastAsia="黑体" w:cs="黑体"/>
          <w:sz w:val="24"/>
          <w:szCs w:val="24"/>
        </w:rPr>
        <w:t>　　_________。</w:t>
      </w:r>
    </w:p>
    <w:p>
      <w:pPr>
        <w:rPr>
          <w:rFonts w:hint="eastAsia" w:ascii="黑体" w:hAnsi="黑体" w:eastAsia="黑体" w:cs="黑体"/>
          <w:sz w:val="24"/>
          <w:szCs w:val="24"/>
        </w:rPr>
      </w:pPr>
      <w:r>
        <w:rPr>
          <w:rFonts w:hint="eastAsia" w:ascii="黑体" w:hAnsi="黑体" w:eastAsia="黑体" w:cs="黑体"/>
          <w:sz w:val="24"/>
          <w:szCs w:val="24"/>
        </w:rPr>
        <w:t>　　2．方式：</w:t>
      </w:r>
    </w:p>
    <w:p>
      <w:pPr>
        <w:rPr>
          <w:rFonts w:hint="eastAsia" w:ascii="黑体" w:hAnsi="黑体" w:eastAsia="黑体" w:cs="黑体"/>
          <w:sz w:val="24"/>
          <w:szCs w:val="24"/>
        </w:rPr>
      </w:pPr>
      <w:r>
        <w:rPr>
          <w:rFonts w:hint="eastAsia" w:ascii="黑体" w:hAnsi="黑体" w:eastAsia="黑体" w:cs="黑体"/>
          <w:sz w:val="24"/>
          <w:szCs w:val="24"/>
        </w:rPr>
        <w:t>　　_________。</w:t>
      </w:r>
    </w:p>
    <w:p>
      <w:pPr>
        <w:rPr>
          <w:rFonts w:hint="eastAsia" w:ascii="黑体" w:hAnsi="黑体" w:eastAsia="黑体" w:cs="黑体"/>
          <w:sz w:val="24"/>
          <w:szCs w:val="24"/>
        </w:rPr>
      </w:pPr>
      <w:r>
        <w:rPr>
          <w:rFonts w:hint="eastAsia" w:ascii="黑体" w:hAnsi="黑体" w:eastAsia="黑体" w:cs="黑体"/>
          <w:sz w:val="24"/>
          <w:szCs w:val="24"/>
        </w:rPr>
        <w:t>　　3．要求：</w:t>
      </w:r>
    </w:p>
    <w:p>
      <w:pPr>
        <w:rPr>
          <w:rFonts w:hint="eastAsia" w:ascii="黑体" w:hAnsi="黑体" w:eastAsia="黑体" w:cs="黑体"/>
          <w:sz w:val="24"/>
          <w:szCs w:val="24"/>
        </w:rPr>
      </w:pPr>
      <w:r>
        <w:rPr>
          <w:rFonts w:hint="eastAsia" w:ascii="黑体" w:hAnsi="黑体" w:eastAsia="黑体" w:cs="黑体"/>
          <w:sz w:val="24"/>
          <w:szCs w:val="24"/>
        </w:rPr>
        <w:t>　　_________。</w:t>
      </w:r>
    </w:p>
    <w:p>
      <w:pPr>
        <w:rPr>
          <w:rFonts w:hint="eastAsia" w:ascii="黑体" w:hAnsi="黑体" w:eastAsia="黑体" w:cs="黑体"/>
          <w:sz w:val="24"/>
          <w:szCs w:val="24"/>
        </w:rPr>
      </w:pPr>
      <w:r>
        <w:rPr>
          <w:rFonts w:hint="eastAsia" w:ascii="黑体" w:hAnsi="黑体" w:eastAsia="黑体" w:cs="黑体"/>
          <w:sz w:val="24"/>
          <w:szCs w:val="24"/>
        </w:rPr>
        <w:t>　　第三条　工作条件：</w:t>
      </w:r>
    </w:p>
    <w:p>
      <w:pPr>
        <w:rPr>
          <w:rFonts w:hint="eastAsia" w:ascii="黑体" w:hAnsi="黑体" w:eastAsia="黑体" w:cs="黑体"/>
          <w:sz w:val="24"/>
          <w:szCs w:val="24"/>
        </w:rPr>
      </w:pPr>
      <w:r>
        <w:rPr>
          <w:rFonts w:hint="eastAsia" w:ascii="黑体" w:hAnsi="黑体" w:eastAsia="黑体" w:cs="黑体"/>
          <w:sz w:val="24"/>
          <w:szCs w:val="24"/>
        </w:rPr>
        <w:t>　　_________。</w:t>
      </w:r>
    </w:p>
    <w:p>
      <w:pPr>
        <w:rPr>
          <w:rFonts w:hint="eastAsia" w:ascii="黑体" w:hAnsi="黑体" w:eastAsia="黑体" w:cs="黑体"/>
          <w:sz w:val="24"/>
          <w:szCs w:val="24"/>
        </w:rPr>
      </w:pPr>
      <w:r>
        <w:rPr>
          <w:rFonts w:hint="eastAsia" w:ascii="黑体" w:hAnsi="黑体" w:eastAsia="黑体" w:cs="黑体"/>
          <w:sz w:val="24"/>
          <w:szCs w:val="24"/>
        </w:rPr>
        <w:t>　　第四条　报酬及其支付方式：</w:t>
      </w:r>
    </w:p>
    <w:p>
      <w:pPr>
        <w:rPr>
          <w:rFonts w:hint="eastAsia" w:ascii="黑体" w:hAnsi="黑体" w:eastAsia="黑体" w:cs="黑体"/>
          <w:sz w:val="24"/>
          <w:szCs w:val="24"/>
        </w:rPr>
      </w:pPr>
      <w:r>
        <w:rPr>
          <w:rFonts w:hint="eastAsia" w:ascii="黑体" w:hAnsi="黑体" w:eastAsia="黑体" w:cs="黑体"/>
          <w:sz w:val="24"/>
          <w:szCs w:val="24"/>
        </w:rPr>
        <w:t>　　1．本项目报酬（服务费或培训费）：_________元。</w:t>
      </w:r>
    </w:p>
    <w:p>
      <w:pPr>
        <w:rPr>
          <w:rFonts w:hint="eastAsia" w:ascii="黑体" w:hAnsi="黑体" w:eastAsia="黑体" w:cs="黑体"/>
          <w:sz w:val="24"/>
          <w:szCs w:val="24"/>
        </w:rPr>
      </w:pPr>
      <w:r>
        <w:rPr>
          <w:rFonts w:hint="eastAsia" w:ascii="黑体" w:hAnsi="黑体" w:eastAsia="黑体" w:cs="黑体"/>
          <w:sz w:val="24"/>
          <w:szCs w:val="24"/>
        </w:rPr>
        <w:t>　　服务方完成专业技术工作，解决技术问题需要的经费，由_________方负担。</w:t>
      </w:r>
    </w:p>
    <w:p>
      <w:pPr>
        <w:rPr>
          <w:rFonts w:hint="eastAsia" w:ascii="黑体" w:hAnsi="黑体" w:eastAsia="黑体" w:cs="黑体"/>
          <w:sz w:val="24"/>
          <w:szCs w:val="24"/>
        </w:rPr>
      </w:pPr>
      <w:r>
        <w:rPr>
          <w:rFonts w:hint="eastAsia" w:ascii="黑体" w:hAnsi="黑体" w:eastAsia="黑体" w:cs="黑体"/>
          <w:sz w:val="24"/>
          <w:szCs w:val="24"/>
        </w:rPr>
        <w:t>　　2．本项目中介方活动经费为：_________元，由_________方负担。中介方的报酬为：_________元，由_________方支付。</w:t>
      </w:r>
    </w:p>
    <w:p>
      <w:pPr>
        <w:rPr>
          <w:rFonts w:hint="eastAsia" w:ascii="黑体" w:hAnsi="黑体" w:eastAsia="黑体" w:cs="黑体"/>
          <w:sz w:val="24"/>
          <w:szCs w:val="24"/>
        </w:rPr>
      </w:pPr>
      <w:r>
        <w:rPr>
          <w:rFonts w:hint="eastAsia" w:ascii="黑体" w:hAnsi="黑体" w:eastAsia="黑体" w:cs="黑体"/>
          <w:sz w:val="24"/>
          <w:szCs w:val="24"/>
        </w:rPr>
        <w:t>　　3．支付方式为如下第_________种：</w:t>
      </w:r>
    </w:p>
    <w:p>
      <w:pPr>
        <w:rPr>
          <w:rFonts w:hint="eastAsia" w:ascii="黑体" w:hAnsi="黑体" w:eastAsia="黑体" w:cs="黑体"/>
          <w:sz w:val="24"/>
          <w:szCs w:val="24"/>
        </w:rPr>
      </w:pPr>
      <w:r>
        <w:rPr>
          <w:rFonts w:hint="eastAsia" w:ascii="黑体" w:hAnsi="黑体" w:eastAsia="黑体" w:cs="黑体"/>
          <w:sz w:val="24"/>
          <w:szCs w:val="24"/>
        </w:rPr>
        <w:t>　　（1）合同生效后_________日内向乙方支付报酬总额的_________％；</w:t>
      </w:r>
    </w:p>
    <w:p>
      <w:pPr>
        <w:rPr>
          <w:rFonts w:hint="eastAsia" w:ascii="黑体" w:hAnsi="黑体" w:eastAsia="黑体" w:cs="黑体"/>
          <w:sz w:val="24"/>
          <w:szCs w:val="24"/>
        </w:rPr>
      </w:pPr>
      <w:r>
        <w:rPr>
          <w:rFonts w:hint="eastAsia" w:ascii="黑体" w:hAnsi="黑体" w:eastAsia="黑体" w:cs="黑体"/>
          <w:sz w:val="24"/>
          <w:szCs w:val="24"/>
        </w:rPr>
        <w:t>　　（2）合同履行完成后（验收合格之日起）_________日内甲方向乙方支付全部报酬余额。</w:t>
      </w:r>
    </w:p>
    <w:p>
      <w:pPr>
        <w:rPr>
          <w:rFonts w:hint="eastAsia" w:ascii="黑体" w:hAnsi="黑体" w:eastAsia="黑体" w:cs="黑体"/>
          <w:sz w:val="24"/>
          <w:szCs w:val="24"/>
        </w:rPr>
      </w:pPr>
      <w:r>
        <w:rPr>
          <w:rFonts w:hint="eastAsia" w:ascii="黑体" w:hAnsi="黑体" w:eastAsia="黑体" w:cs="黑体"/>
          <w:sz w:val="24"/>
          <w:szCs w:val="24"/>
        </w:rPr>
        <w:t>　　（3）其它方式：_________。</w:t>
      </w:r>
    </w:p>
    <w:p>
      <w:pPr>
        <w:rPr>
          <w:rFonts w:hint="eastAsia" w:ascii="黑体" w:hAnsi="黑体" w:eastAsia="黑体" w:cs="黑体"/>
          <w:sz w:val="24"/>
          <w:szCs w:val="24"/>
        </w:rPr>
      </w:pPr>
      <w:r>
        <w:rPr>
          <w:rFonts w:hint="eastAsia" w:ascii="黑体" w:hAnsi="黑体" w:eastAsia="黑体" w:cs="黑体"/>
          <w:sz w:val="24"/>
          <w:szCs w:val="24"/>
        </w:rPr>
        <w:t>　　第五条　声明及保证</w:t>
      </w:r>
    </w:p>
    <w:p>
      <w:pPr>
        <w:rPr>
          <w:rFonts w:hint="eastAsia" w:ascii="黑体" w:hAnsi="黑体" w:eastAsia="黑体" w:cs="黑体"/>
          <w:sz w:val="24"/>
          <w:szCs w:val="24"/>
        </w:rPr>
      </w:pPr>
      <w:r>
        <w:rPr>
          <w:rFonts w:hint="eastAsia" w:ascii="黑体" w:hAnsi="黑体" w:eastAsia="黑体" w:cs="黑体"/>
          <w:sz w:val="24"/>
          <w:szCs w:val="24"/>
        </w:rPr>
        <w:t>　　甲方：</w:t>
      </w:r>
    </w:p>
    <w:p>
      <w:pPr>
        <w:rPr>
          <w:rFonts w:hint="eastAsia" w:ascii="黑体" w:hAnsi="黑体" w:eastAsia="黑体" w:cs="黑体"/>
          <w:sz w:val="24"/>
          <w:szCs w:val="24"/>
        </w:rPr>
      </w:pPr>
      <w:r>
        <w:rPr>
          <w:rFonts w:hint="eastAsia" w:ascii="黑体" w:hAnsi="黑体" w:eastAsia="黑体" w:cs="黑体"/>
          <w:sz w:val="24"/>
          <w:szCs w:val="24"/>
        </w:rPr>
        <w:t>　　1．甲方为一家依法设立并合法存续的企业，有权签署并有能力履行本合同。</w:t>
      </w:r>
    </w:p>
    <w:p>
      <w:pPr>
        <w:rPr>
          <w:rFonts w:hint="eastAsia" w:ascii="黑体" w:hAnsi="黑体" w:eastAsia="黑体" w:cs="黑体"/>
          <w:sz w:val="24"/>
          <w:szCs w:val="24"/>
        </w:rPr>
      </w:pPr>
      <w:r>
        <w:rPr>
          <w:rFonts w:hint="eastAsia" w:ascii="黑体" w:hAnsi="黑体" w:eastAsia="黑体" w:cs="黑体"/>
          <w:sz w:val="24"/>
          <w:szCs w:val="24"/>
        </w:rPr>
        <w:t>　　2．甲方签署和履行本合同所需的一切手续均已办妥并合法有效。</w:t>
      </w:r>
    </w:p>
    <w:p>
      <w:pPr>
        <w:rPr>
          <w:rFonts w:hint="eastAsia" w:ascii="黑体" w:hAnsi="黑体" w:eastAsia="黑体" w:cs="黑体"/>
          <w:sz w:val="24"/>
          <w:szCs w:val="24"/>
        </w:rPr>
      </w:pPr>
      <w:r>
        <w:rPr>
          <w:rFonts w:hint="eastAsia" w:ascii="黑体" w:hAnsi="黑体" w:eastAsia="黑体" w:cs="黑体"/>
          <w:sz w:val="24"/>
          <w:szCs w:val="24"/>
        </w:rPr>
        <w:t>　　3．在签署本合同时，任何法院、仲裁机构、行政机关或监管机构均未作出任何足以对甲方履行本合同产生重大不利影响的判决、裁定、裁决或具体行政行为。</w:t>
      </w:r>
    </w:p>
    <w:p>
      <w:pPr>
        <w:rPr>
          <w:rFonts w:hint="eastAsia" w:ascii="黑体" w:hAnsi="黑体" w:eastAsia="黑体" w:cs="黑体"/>
          <w:sz w:val="24"/>
          <w:szCs w:val="24"/>
        </w:rPr>
      </w:pPr>
      <w:r>
        <w:rPr>
          <w:rFonts w:hint="eastAsia" w:ascii="黑体" w:hAnsi="黑体" w:eastAsia="黑体" w:cs="黑体"/>
          <w:sz w:val="24"/>
          <w:szCs w:val="24"/>
        </w:rPr>
        <w:t>　　4．甲方为签署本合同所需的内部授权程序均已完成，本合同的签署人是甲方的法定代表人或授权代表人。本合同生效后即对合同双方具有法律约束力。</w:t>
      </w:r>
    </w:p>
    <w:p>
      <w:pPr>
        <w:rPr>
          <w:rFonts w:hint="eastAsia" w:ascii="黑体" w:hAnsi="黑体" w:eastAsia="黑体" w:cs="黑体"/>
          <w:sz w:val="24"/>
          <w:szCs w:val="24"/>
        </w:rPr>
      </w:pPr>
      <w:r>
        <w:rPr>
          <w:rFonts w:hint="eastAsia" w:ascii="黑体" w:hAnsi="黑体" w:eastAsia="黑体" w:cs="黑体"/>
          <w:sz w:val="24"/>
          <w:szCs w:val="24"/>
        </w:rPr>
        <w:t>　　乙方：</w:t>
      </w:r>
    </w:p>
    <w:p>
      <w:pPr>
        <w:rPr>
          <w:rFonts w:hint="eastAsia" w:ascii="黑体" w:hAnsi="黑体" w:eastAsia="黑体" w:cs="黑体"/>
          <w:sz w:val="24"/>
          <w:szCs w:val="24"/>
        </w:rPr>
      </w:pPr>
      <w:r>
        <w:rPr>
          <w:rFonts w:hint="eastAsia" w:ascii="黑体" w:hAnsi="黑体" w:eastAsia="黑体" w:cs="黑体"/>
          <w:sz w:val="24"/>
          <w:szCs w:val="24"/>
        </w:rPr>
        <w:t>　　1．乙方为一家依法设立并合法存续的企业，有权签署并有能力履行本合同。</w:t>
      </w:r>
    </w:p>
    <w:p>
      <w:pPr>
        <w:rPr>
          <w:rFonts w:hint="eastAsia" w:ascii="黑体" w:hAnsi="黑体" w:eastAsia="黑体" w:cs="黑体"/>
          <w:sz w:val="24"/>
          <w:szCs w:val="24"/>
        </w:rPr>
      </w:pPr>
      <w:r>
        <w:rPr>
          <w:rFonts w:hint="eastAsia" w:ascii="黑体" w:hAnsi="黑体" w:eastAsia="黑体" w:cs="黑体"/>
          <w:sz w:val="24"/>
          <w:szCs w:val="24"/>
        </w:rPr>
        <w:t>　　2．乙方签署和履行本合同所需的一切手续均已办妥并合法有效。</w:t>
      </w:r>
    </w:p>
    <w:p>
      <w:pPr>
        <w:rPr>
          <w:rFonts w:hint="eastAsia" w:ascii="黑体" w:hAnsi="黑体" w:eastAsia="黑体" w:cs="黑体"/>
          <w:sz w:val="24"/>
          <w:szCs w:val="24"/>
        </w:rPr>
      </w:pPr>
      <w:r>
        <w:rPr>
          <w:rFonts w:hint="eastAsia" w:ascii="黑体" w:hAnsi="黑体" w:eastAsia="黑体" w:cs="黑体"/>
          <w:sz w:val="24"/>
          <w:szCs w:val="24"/>
        </w:rPr>
        <w:t>　　3．在签署本合同时，任何法院、仲裁机构、行政机关或监管机构均未作出任何足以对乙方履行本合同产生重大不利影响的判决、裁定、裁决或具体行政行为。</w:t>
      </w:r>
    </w:p>
    <w:p>
      <w:pPr>
        <w:rPr>
          <w:rFonts w:hint="eastAsia" w:ascii="黑体" w:hAnsi="黑体" w:eastAsia="黑体" w:cs="黑体"/>
          <w:sz w:val="24"/>
          <w:szCs w:val="24"/>
        </w:rPr>
      </w:pPr>
      <w:r>
        <w:rPr>
          <w:rFonts w:hint="eastAsia" w:ascii="黑体" w:hAnsi="黑体" w:eastAsia="黑体" w:cs="黑体"/>
          <w:sz w:val="24"/>
          <w:szCs w:val="24"/>
        </w:rPr>
        <w:t>　　4．乙方为签署本合同所需的内部授权程序均已完成，本合同的签署人是乙方的法定代表人或授权代表人。本合同生效后即对合同双方具有法律约束力。</w:t>
      </w:r>
    </w:p>
    <w:p>
      <w:pPr>
        <w:rPr>
          <w:rFonts w:hint="eastAsia" w:ascii="黑体" w:hAnsi="黑体" w:eastAsia="黑体" w:cs="黑体"/>
          <w:sz w:val="24"/>
          <w:szCs w:val="24"/>
        </w:rPr>
      </w:pPr>
      <w:r>
        <w:rPr>
          <w:rFonts w:hint="eastAsia" w:ascii="黑体" w:hAnsi="黑体" w:eastAsia="黑体" w:cs="黑体"/>
          <w:sz w:val="24"/>
          <w:szCs w:val="24"/>
        </w:rPr>
        <w:t>　　第六条　甲方的主要义务</w:t>
      </w:r>
    </w:p>
    <w:p>
      <w:pPr>
        <w:rPr>
          <w:rFonts w:hint="eastAsia" w:ascii="黑体" w:hAnsi="黑体" w:eastAsia="黑体" w:cs="黑体"/>
          <w:sz w:val="24"/>
          <w:szCs w:val="24"/>
        </w:rPr>
      </w:pPr>
      <w:r>
        <w:rPr>
          <w:rFonts w:hint="eastAsia" w:ascii="黑体" w:hAnsi="黑体" w:eastAsia="黑体" w:cs="黑体"/>
          <w:sz w:val="24"/>
          <w:szCs w:val="24"/>
        </w:rPr>
        <w:t>　　1．在合同生效后_________日内向乙方提供下列技术资料、数据、材料、样品：</w:t>
      </w:r>
    </w:p>
    <w:p>
      <w:pPr>
        <w:rPr>
          <w:rFonts w:hint="eastAsia" w:ascii="黑体" w:hAnsi="黑体" w:eastAsia="黑体" w:cs="黑体"/>
          <w:sz w:val="24"/>
          <w:szCs w:val="24"/>
        </w:rPr>
      </w:pPr>
      <w:r>
        <w:rPr>
          <w:rFonts w:hint="eastAsia" w:ascii="黑体" w:hAnsi="黑体" w:eastAsia="黑体" w:cs="黑体"/>
          <w:sz w:val="24"/>
          <w:szCs w:val="24"/>
        </w:rPr>
        <w:t>　　_________。</w:t>
      </w:r>
    </w:p>
    <w:p>
      <w:pPr>
        <w:rPr>
          <w:rFonts w:hint="eastAsia" w:ascii="黑体" w:hAnsi="黑体" w:eastAsia="黑体" w:cs="黑体"/>
          <w:sz w:val="24"/>
          <w:szCs w:val="24"/>
        </w:rPr>
      </w:pPr>
      <w:r>
        <w:rPr>
          <w:rFonts w:hint="eastAsia" w:ascii="黑体" w:hAnsi="黑体" w:eastAsia="黑体" w:cs="黑体"/>
          <w:sz w:val="24"/>
          <w:szCs w:val="24"/>
        </w:rPr>
        <w:t>　　2．在接到乙方关于要求改进或更换不符合合同约定的技术资料、数据、材料、样品的通知后_________天内及时做出答复；</w:t>
      </w:r>
    </w:p>
    <w:p>
      <w:pPr>
        <w:rPr>
          <w:rFonts w:hint="eastAsia" w:ascii="黑体" w:hAnsi="黑体" w:eastAsia="黑体" w:cs="黑体"/>
          <w:sz w:val="24"/>
          <w:szCs w:val="24"/>
        </w:rPr>
      </w:pPr>
      <w:r>
        <w:rPr>
          <w:rFonts w:hint="eastAsia" w:ascii="黑体" w:hAnsi="黑体" w:eastAsia="黑体" w:cs="黑体"/>
          <w:sz w:val="24"/>
          <w:szCs w:val="24"/>
        </w:rPr>
        <w:t>　　3．按约向乙方支付报酬，乙方开户银行帐户为_________。</w:t>
      </w:r>
    </w:p>
    <w:p>
      <w:pPr>
        <w:rPr>
          <w:rFonts w:hint="eastAsia" w:ascii="黑体" w:hAnsi="黑体" w:eastAsia="黑体" w:cs="黑体"/>
          <w:sz w:val="24"/>
          <w:szCs w:val="24"/>
        </w:rPr>
      </w:pPr>
      <w:r>
        <w:rPr>
          <w:rFonts w:hint="eastAsia" w:ascii="黑体" w:hAnsi="黑体" w:eastAsia="黑体" w:cs="黑体"/>
          <w:sz w:val="24"/>
          <w:szCs w:val="24"/>
        </w:rPr>
        <w:t>　　4．协助乙方完成下列配合事项：</w:t>
      </w:r>
    </w:p>
    <w:p>
      <w:pPr>
        <w:rPr>
          <w:rFonts w:hint="eastAsia" w:ascii="黑体" w:hAnsi="黑体" w:eastAsia="黑体" w:cs="黑体"/>
          <w:sz w:val="24"/>
          <w:szCs w:val="24"/>
        </w:rPr>
      </w:pPr>
      <w:r>
        <w:rPr>
          <w:rFonts w:hint="eastAsia" w:ascii="黑体" w:hAnsi="黑体" w:eastAsia="黑体" w:cs="黑体"/>
          <w:sz w:val="24"/>
          <w:szCs w:val="24"/>
        </w:rPr>
        <w:t>　　_________。</w:t>
      </w:r>
    </w:p>
    <w:p>
      <w:pPr>
        <w:rPr>
          <w:rFonts w:hint="eastAsia" w:ascii="黑体" w:hAnsi="黑体" w:eastAsia="黑体" w:cs="黑体"/>
          <w:sz w:val="24"/>
          <w:szCs w:val="24"/>
        </w:rPr>
      </w:pPr>
      <w:r>
        <w:rPr>
          <w:rFonts w:hint="eastAsia" w:ascii="黑体" w:hAnsi="黑体" w:eastAsia="黑体" w:cs="黑体"/>
          <w:sz w:val="24"/>
          <w:szCs w:val="24"/>
        </w:rPr>
        <w:t>　　第七条　乙方的主要义务</w:t>
      </w:r>
    </w:p>
    <w:p>
      <w:pPr>
        <w:rPr>
          <w:rFonts w:hint="eastAsia" w:ascii="黑体" w:hAnsi="黑体" w:eastAsia="黑体" w:cs="黑体"/>
          <w:sz w:val="24"/>
          <w:szCs w:val="24"/>
        </w:rPr>
      </w:pPr>
      <w:r>
        <w:rPr>
          <w:rFonts w:hint="eastAsia" w:ascii="黑体" w:hAnsi="黑体" w:eastAsia="黑体" w:cs="黑体"/>
          <w:sz w:val="24"/>
          <w:szCs w:val="24"/>
        </w:rPr>
        <w:t>　　1．在_________年_________月_________日前完成技术服务工作；</w:t>
      </w:r>
    </w:p>
    <w:p>
      <w:pPr>
        <w:rPr>
          <w:rFonts w:hint="eastAsia" w:ascii="黑体" w:hAnsi="黑体" w:eastAsia="黑体" w:cs="黑体"/>
          <w:sz w:val="24"/>
          <w:szCs w:val="24"/>
        </w:rPr>
      </w:pPr>
      <w:r>
        <w:rPr>
          <w:rFonts w:hint="eastAsia" w:ascii="黑体" w:hAnsi="黑体" w:eastAsia="黑体" w:cs="黑体"/>
          <w:sz w:val="24"/>
          <w:szCs w:val="24"/>
        </w:rPr>
        <w:t>　　2．依照下列技术经济指标完成技术服务工作：_________；</w:t>
      </w:r>
    </w:p>
    <w:p>
      <w:pPr>
        <w:rPr>
          <w:rFonts w:hint="eastAsia" w:ascii="黑体" w:hAnsi="黑体" w:eastAsia="黑体" w:cs="黑体"/>
          <w:sz w:val="24"/>
          <w:szCs w:val="24"/>
        </w:rPr>
      </w:pPr>
      <w:r>
        <w:rPr>
          <w:rFonts w:hint="eastAsia" w:ascii="黑体" w:hAnsi="黑体" w:eastAsia="黑体" w:cs="黑体"/>
          <w:sz w:val="24"/>
          <w:szCs w:val="24"/>
        </w:rPr>
        <w:t>　　3．发现甲方提供的技术资料、数据、样品、材料或工作条件不符合合同约定时，应在合同生效后_________天内通知委托方改进或者更换；</w:t>
      </w:r>
    </w:p>
    <w:p>
      <w:pPr>
        <w:rPr>
          <w:rFonts w:hint="eastAsia" w:ascii="黑体" w:hAnsi="黑体" w:eastAsia="黑体" w:cs="黑体"/>
          <w:sz w:val="24"/>
          <w:szCs w:val="24"/>
        </w:rPr>
      </w:pPr>
      <w:r>
        <w:rPr>
          <w:rFonts w:hint="eastAsia" w:ascii="黑体" w:hAnsi="黑体" w:eastAsia="黑体" w:cs="黑体"/>
          <w:sz w:val="24"/>
          <w:szCs w:val="24"/>
        </w:rPr>
        <w:t>　　4．应对甲方交给的技术资料、样品等妥善保管；在合同履行过程中，如发现继续工作对材料、样品或设备等有损坏危险时，应中止工作，并及时通知委托方；工作完成后应归还上述技术资料、样品，不得擅自存留复制品。</w:t>
      </w:r>
    </w:p>
    <w:p>
      <w:pPr>
        <w:rPr>
          <w:rFonts w:hint="eastAsia" w:ascii="黑体" w:hAnsi="黑体" w:eastAsia="黑体" w:cs="黑体"/>
          <w:sz w:val="24"/>
          <w:szCs w:val="24"/>
        </w:rPr>
      </w:pPr>
      <w:r>
        <w:rPr>
          <w:rFonts w:hint="eastAsia" w:ascii="黑体" w:hAnsi="黑体" w:eastAsia="黑体" w:cs="黑体"/>
          <w:sz w:val="24"/>
          <w:szCs w:val="24"/>
        </w:rPr>
        <w:t>　　第八条　保密条款</w:t>
      </w:r>
    </w:p>
    <w:p>
      <w:pPr>
        <w:rPr>
          <w:rFonts w:hint="eastAsia" w:ascii="黑体" w:hAnsi="黑体" w:eastAsia="黑体" w:cs="黑体"/>
          <w:sz w:val="24"/>
          <w:szCs w:val="24"/>
        </w:rPr>
      </w:pPr>
      <w:r>
        <w:rPr>
          <w:rFonts w:hint="eastAsia" w:ascii="黑体" w:hAnsi="黑体" w:eastAsia="黑体" w:cs="黑体"/>
          <w:sz w:val="24"/>
          <w:szCs w:val="24"/>
        </w:rPr>
        <w:t>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rPr>
          <w:rFonts w:hint="eastAsia" w:ascii="黑体" w:hAnsi="黑体" w:eastAsia="黑体" w:cs="黑体"/>
          <w:sz w:val="24"/>
          <w:szCs w:val="24"/>
        </w:rPr>
      </w:pPr>
      <w:r>
        <w:rPr>
          <w:rFonts w:hint="eastAsia" w:ascii="黑体" w:hAnsi="黑体" w:eastAsia="黑体" w:cs="黑体"/>
          <w:sz w:val="24"/>
          <w:szCs w:val="24"/>
        </w:rPr>
        <w:t>　　一方违反上述保密义务的，应承担相应的违约责任并赔偿由此造成的损失。</w:t>
      </w:r>
    </w:p>
    <w:p>
      <w:pPr>
        <w:rPr>
          <w:rFonts w:hint="eastAsia" w:ascii="黑体" w:hAnsi="黑体" w:eastAsia="黑体" w:cs="黑体"/>
          <w:sz w:val="24"/>
          <w:szCs w:val="24"/>
        </w:rPr>
      </w:pPr>
      <w:r>
        <w:rPr>
          <w:rFonts w:hint="eastAsia" w:ascii="黑体" w:hAnsi="黑体" w:eastAsia="黑体" w:cs="黑体"/>
          <w:sz w:val="24"/>
          <w:szCs w:val="24"/>
        </w:rPr>
        <w:t>　　第九条　技术成果收益归属</w:t>
      </w:r>
    </w:p>
    <w:p>
      <w:pPr>
        <w:rPr>
          <w:rFonts w:hint="eastAsia" w:ascii="黑体" w:hAnsi="黑体" w:eastAsia="黑体" w:cs="黑体"/>
          <w:sz w:val="24"/>
          <w:szCs w:val="24"/>
        </w:rPr>
      </w:pPr>
      <w:r>
        <w:rPr>
          <w:rFonts w:hint="eastAsia" w:ascii="黑体" w:hAnsi="黑体" w:eastAsia="黑体" w:cs="黑体"/>
          <w:sz w:val="24"/>
          <w:szCs w:val="24"/>
        </w:rPr>
        <w:t>　　在履行本合同中，乙方利用甲方提供的技术资料和工作条件完成的新的技术成果，属于乙方所有。（注：当事人还可以有其他不同的约定）</w:t>
      </w:r>
    </w:p>
    <w:p>
      <w:pPr>
        <w:rPr>
          <w:rFonts w:hint="eastAsia" w:ascii="黑体" w:hAnsi="黑体" w:eastAsia="黑体" w:cs="黑体"/>
          <w:sz w:val="24"/>
          <w:szCs w:val="24"/>
        </w:rPr>
      </w:pPr>
      <w:r>
        <w:rPr>
          <w:rFonts w:hint="eastAsia" w:ascii="黑体" w:hAnsi="黑体" w:eastAsia="黑体" w:cs="黑体"/>
          <w:sz w:val="24"/>
          <w:szCs w:val="24"/>
        </w:rPr>
        <w:t>　　第十条　甲方的违约责任</w:t>
      </w:r>
    </w:p>
    <w:p>
      <w:pPr>
        <w:rPr>
          <w:rFonts w:hint="eastAsia" w:ascii="黑体" w:hAnsi="黑体" w:eastAsia="黑体" w:cs="黑体"/>
          <w:sz w:val="24"/>
          <w:szCs w:val="24"/>
        </w:rPr>
      </w:pPr>
      <w:r>
        <w:rPr>
          <w:rFonts w:hint="eastAsia" w:ascii="黑体" w:hAnsi="黑体" w:eastAsia="黑体" w:cs="黑体"/>
          <w:sz w:val="24"/>
          <w:szCs w:val="24"/>
        </w:rPr>
        <w:t>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rPr>
          <w:rFonts w:hint="eastAsia" w:ascii="黑体" w:hAnsi="黑体" w:eastAsia="黑体" w:cs="黑体"/>
          <w:sz w:val="24"/>
          <w:szCs w:val="24"/>
        </w:rPr>
      </w:pPr>
      <w:r>
        <w:rPr>
          <w:rFonts w:hint="eastAsia" w:ascii="黑体" w:hAnsi="黑体" w:eastAsia="黑体" w:cs="黑体"/>
          <w:sz w:val="24"/>
          <w:szCs w:val="24"/>
        </w:rPr>
        <w:t>　　2．甲方迟延支付报酬，应当支付数额为报酬总额_________％的违约金，逾期二个月不支付报酬或者违约金的，应当交还工作成果，补交报酬，支付数额为报酬总额_________％的违约金。</w:t>
      </w:r>
    </w:p>
    <w:p>
      <w:pPr>
        <w:rPr>
          <w:rFonts w:hint="eastAsia" w:ascii="黑体" w:hAnsi="黑体" w:eastAsia="黑体" w:cs="黑体"/>
          <w:sz w:val="24"/>
          <w:szCs w:val="24"/>
        </w:rPr>
      </w:pPr>
      <w:r>
        <w:rPr>
          <w:rFonts w:hint="eastAsia" w:ascii="黑体" w:hAnsi="黑体" w:eastAsia="黑体" w:cs="黑体"/>
          <w:sz w:val="24"/>
          <w:szCs w:val="24"/>
        </w:rPr>
        <w:t>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rPr>
          <w:rFonts w:hint="eastAsia" w:ascii="黑体" w:hAnsi="黑体" w:eastAsia="黑体" w:cs="黑体"/>
          <w:sz w:val="24"/>
          <w:szCs w:val="24"/>
        </w:rPr>
      </w:pPr>
      <w:r>
        <w:rPr>
          <w:rFonts w:hint="eastAsia" w:ascii="黑体" w:hAnsi="黑体" w:eastAsia="黑体" w:cs="黑体"/>
          <w:sz w:val="24"/>
          <w:szCs w:val="24"/>
        </w:rPr>
        <w:t>　　第十一条　乙方的违约责任</w:t>
      </w:r>
    </w:p>
    <w:p>
      <w:pPr>
        <w:rPr>
          <w:rFonts w:hint="eastAsia" w:ascii="黑体" w:hAnsi="黑体" w:eastAsia="黑体" w:cs="黑体"/>
          <w:sz w:val="24"/>
          <w:szCs w:val="24"/>
        </w:rPr>
      </w:pPr>
      <w:r>
        <w:rPr>
          <w:rFonts w:hint="eastAsia" w:ascii="黑体" w:hAnsi="黑体" w:eastAsia="黑体" w:cs="黑体"/>
          <w:sz w:val="24"/>
          <w:szCs w:val="24"/>
        </w:rPr>
        <w:t>　　1．擅自不履行合同，应当免收报酬并支付数额为报酬总额_________％的违约金。</w:t>
      </w:r>
    </w:p>
    <w:p>
      <w:pPr>
        <w:rPr>
          <w:rFonts w:hint="eastAsia" w:ascii="黑体" w:hAnsi="黑体" w:eastAsia="黑体" w:cs="黑体"/>
          <w:sz w:val="24"/>
          <w:szCs w:val="24"/>
        </w:rPr>
      </w:pPr>
      <w:r>
        <w:rPr>
          <w:rFonts w:hint="eastAsia" w:ascii="黑体" w:hAnsi="黑体" w:eastAsia="黑体" w:cs="黑体"/>
          <w:sz w:val="24"/>
          <w:szCs w:val="24"/>
        </w:rPr>
        <w:t>　　2．未按约定的期限完成工作的，应支付数额为报酬总额_________的违约金。</w:t>
      </w:r>
    </w:p>
    <w:p>
      <w:pPr>
        <w:rPr>
          <w:rFonts w:hint="eastAsia" w:ascii="黑体" w:hAnsi="黑体" w:eastAsia="黑体" w:cs="黑体"/>
          <w:sz w:val="24"/>
          <w:szCs w:val="24"/>
        </w:rPr>
      </w:pPr>
      <w:r>
        <w:rPr>
          <w:rFonts w:hint="eastAsia" w:ascii="黑体" w:hAnsi="黑体" w:eastAsia="黑体" w:cs="黑体"/>
          <w:sz w:val="24"/>
          <w:szCs w:val="24"/>
        </w:rPr>
        <w:t>　　3．未按质按量完成工作的，应当负责返工改进或如数补。如果给甲方造成损失的，应赔偿损失；</w:t>
      </w:r>
    </w:p>
    <w:p>
      <w:pPr>
        <w:rPr>
          <w:rFonts w:hint="eastAsia" w:ascii="黑体" w:hAnsi="黑体" w:eastAsia="黑体" w:cs="黑体"/>
          <w:sz w:val="24"/>
          <w:szCs w:val="24"/>
        </w:rPr>
      </w:pPr>
      <w:r>
        <w:rPr>
          <w:rFonts w:hint="eastAsia" w:ascii="黑体" w:hAnsi="黑体" w:eastAsia="黑体" w:cs="黑体"/>
          <w:sz w:val="24"/>
          <w:szCs w:val="24"/>
        </w:rPr>
        <w:t>　　4．在工作时间，发现对方提供的技术资料、数据、样品、材料或工作条件等不符合合同规定，未按约定期限通知委托方，造成技术服务工作停滞、延误或不能履行的，应酌减或免收报酬；</w:t>
      </w:r>
    </w:p>
    <w:p>
      <w:pPr>
        <w:rPr>
          <w:rFonts w:hint="eastAsia" w:ascii="黑体" w:hAnsi="黑体" w:eastAsia="黑体" w:cs="黑体"/>
          <w:sz w:val="24"/>
          <w:szCs w:val="24"/>
        </w:rPr>
      </w:pPr>
      <w:r>
        <w:rPr>
          <w:rFonts w:hint="eastAsia" w:ascii="黑体" w:hAnsi="黑体" w:eastAsia="黑体" w:cs="黑体"/>
          <w:sz w:val="24"/>
          <w:szCs w:val="24"/>
        </w:rPr>
        <w:t>　　5．在工作期间，发现委托方提供的物品有受损的危险，未按约定期限通知委托方，应对由此造成的损失承担责任。</w:t>
      </w:r>
    </w:p>
    <w:p>
      <w:pPr>
        <w:rPr>
          <w:rFonts w:hint="eastAsia" w:ascii="黑体" w:hAnsi="黑体" w:eastAsia="黑体" w:cs="黑体"/>
          <w:sz w:val="24"/>
          <w:szCs w:val="24"/>
        </w:rPr>
      </w:pPr>
      <w:r>
        <w:rPr>
          <w:rFonts w:hint="eastAsia" w:ascii="黑体" w:hAnsi="黑体" w:eastAsia="黑体" w:cs="黑体"/>
          <w:sz w:val="24"/>
          <w:szCs w:val="24"/>
        </w:rPr>
        <w:t>　　6．违反合同约定、擅自将有关技术资料、数据、样品或工作成果引用，发表或提供给第三人，应支付数额为报酬总额_________％的违约金。</w:t>
      </w:r>
    </w:p>
    <w:p>
      <w:pPr>
        <w:rPr>
          <w:rFonts w:hint="eastAsia" w:ascii="黑体" w:hAnsi="黑体" w:eastAsia="黑体" w:cs="黑体"/>
          <w:sz w:val="24"/>
          <w:szCs w:val="24"/>
        </w:rPr>
      </w:pPr>
      <w:r>
        <w:rPr>
          <w:rFonts w:hint="eastAsia" w:ascii="黑体" w:hAnsi="黑体" w:eastAsia="黑体" w:cs="黑体"/>
          <w:sz w:val="24"/>
          <w:szCs w:val="24"/>
        </w:rPr>
        <w:t>　　7．对甲方交付的样品，材料及技术资料保管不善，造成灭失、短少、变质、污染或者损坏的，应赔偿损失。</w:t>
      </w:r>
    </w:p>
    <w:p>
      <w:pPr>
        <w:rPr>
          <w:rFonts w:hint="eastAsia" w:ascii="黑体" w:hAnsi="黑体" w:eastAsia="黑体" w:cs="黑体"/>
          <w:sz w:val="24"/>
          <w:szCs w:val="24"/>
        </w:rPr>
      </w:pPr>
      <w:r>
        <w:rPr>
          <w:rFonts w:hint="eastAsia" w:ascii="黑体" w:hAnsi="黑体" w:eastAsia="黑体" w:cs="黑体"/>
          <w:sz w:val="24"/>
          <w:szCs w:val="24"/>
        </w:rPr>
        <w:t>　　第十二条　验收标准和方法</w:t>
      </w:r>
    </w:p>
    <w:p>
      <w:pPr>
        <w:rPr>
          <w:rFonts w:hint="eastAsia" w:ascii="黑体" w:hAnsi="黑体" w:eastAsia="黑体" w:cs="黑体"/>
          <w:sz w:val="24"/>
          <w:szCs w:val="24"/>
        </w:rPr>
      </w:pPr>
      <w:r>
        <w:rPr>
          <w:rFonts w:hint="eastAsia" w:ascii="黑体" w:hAnsi="黑体" w:eastAsia="黑体" w:cs="黑体"/>
          <w:sz w:val="24"/>
          <w:szCs w:val="24"/>
        </w:rPr>
        <w:t>　　1．验收时间：_________；</w:t>
      </w:r>
    </w:p>
    <w:p>
      <w:pPr>
        <w:rPr>
          <w:rFonts w:hint="eastAsia" w:ascii="黑体" w:hAnsi="黑体" w:eastAsia="黑体" w:cs="黑体"/>
          <w:sz w:val="24"/>
          <w:szCs w:val="24"/>
        </w:rPr>
      </w:pPr>
      <w:r>
        <w:rPr>
          <w:rFonts w:hint="eastAsia" w:ascii="黑体" w:hAnsi="黑体" w:eastAsia="黑体" w:cs="黑体"/>
          <w:sz w:val="24"/>
          <w:szCs w:val="24"/>
        </w:rPr>
        <w:t>　　2．验收地点：_________；</w:t>
      </w:r>
    </w:p>
    <w:p>
      <w:pPr>
        <w:rPr>
          <w:rFonts w:hint="eastAsia" w:ascii="黑体" w:hAnsi="黑体" w:eastAsia="黑体" w:cs="黑体"/>
          <w:sz w:val="24"/>
          <w:szCs w:val="24"/>
        </w:rPr>
      </w:pPr>
      <w:r>
        <w:rPr>
          <w:rFonts w:hint="eastAsia" w:ascii="黑体" w:hAnsi="黑体" w:eastAsia="黑体" w:cs="黑体"/>
          <w:sz w:val="24"/>
          <w:szCs w:val="24"/>
        </w:rPr>
        <w:t>　　3．验收标准：本合同约定的各项技术指标；</w:t>
      </w:r>
    </w:p>
    <w:p>
      <w:pPr>
        <w:rPr>
          <w:rFonts w:hint="eastAsia" w:ascii="黑体" w:hAnsi="黑体" w:eastAsia="黑体" w:cs="黑体"/>
          <w:sz w:val="24"/>
          <w:szCs w:val="24"/>
        </w:rPr>
      </w:pPr>
      <w:r>
        <w:rPr>
          <w:rFonts w:hint="eastAsia" w:ascii="黑体" w:hAnsi="黑体" w:eastAsia="黑体" w:cs="黑体"/>
          <w:sz w:val="24"/>
          <w:szCs w:val="24"/>
        </w:rPr>
        <w:t>　　4．验收方法：由甲方组织有关同行业专业技术人员验收，写出验收报告；</w:t>
      </w:r>
    </w:p>
    <w:p>
      <w:pPr>
        <w:rPr>
          <w:rFonts w:hint="eastAsia" w:ascii="黑体" w:hAnsi="黑体" w:eastAsia="黑体" w:cs="黑体"/>
          <w:sz w:val="24"/>
          <w:szCs w:val="24"/>
        </w:rPr>
      </w:pPr>
      <w:r>
        <w:rPr>
          <w:rFonts w:hint="eastAsia" w:ascii="黑体" w:hAnsi="黑体" w:eastAsia="黑体" w:cs="黑体"/>
          <w:sz w:val="24"/>
          <w:szCs w:val="24"/>
        </w:rPr>
        <w:t>　　5．验收费用由_________方负担。</w:t>
      </w:r>
    </w:p>
    <w:p>
      <w:pPr>
        <w:rPr>
          <w:rFonts w:hint="eastAsia" w:ascii="黑体" w:hAnsi="黑体" w:eastAsia="黑体" w:cs="黑体"/>
          <w:sz w:val="24"/>
          <w:szCs w:val="24"/>
        </w:rPr>
      </w:pPr>
      <w:r>
        <w:rPr>
          <w:rFonts w:hint="eastAsia" w:ascii="黑体" w:hAnsi="黑体" w:eastAsia="黑体" w:cs="黑体"/>
          <w:sz w:val="24"/>
          <w:szCs w:val="24"/>
        </w:rPr>
        <w:t>　　第十三条　保证期为_________（年／月）。在保证期内发现服务质量缺陷的，乙方应当负责返工或者采取补救措施。但因甲方使用、保管不当引起的问题除外。</w:t>
      </w:r>
    </w:p>
    <w:p>
      <w:pPr>
        <w:rPr>
          <w:rFonts w:hint="eastAsia" w:ascii="黑体" w:hAnsi="黑体" w:eastAsia="黑体" w:cs="黑体"/>
          <w:sz w:val="24"/>
          <w:szCs w:val="24"/>
        </w:rPr>
      </w:pPr>
      <w:r>
        <w:rPr>
          <w:rFonts w:hint="eastAsia" w:ascii="黑体" w:hAnsi="黑体" w:eastAsia="黑体" w:cs="黑体"/>
          <w:sz w:val="24"/>
          <w:szCs w:val="24"/>
        </w:rPr>
        <w:t>　　第十四条　不可抗力</w:t>
      </w:r>
    </w:p>
    <w:p>
      <w:pPr>
        <w:rPr>
          <w:rFonts w:hint="eastAsia" w:ascii="黑体" w:hAnsi="黑体" w:eastAsia="黑体" w:cs="黑体"/>
          <w:sz w:val="24"/>
          <w:szCs w:val="24"/>
        </w:rPr>
      </w:pPr>
      <w:r>
        <w:rPr>
          <w:rFonts w:hint="eastAsia" w:ascii="黑体" w:hAnsi="黑体" w:eastAsia="黑体" w:cs="黑体"/>
          <w:sz w:val="24"/>
          <w:szCs w:val="24"/>
        </w:rPr>
        <w:t>　　本合同所称不可抗力是指不能预见、不能克服、不能避免并对一方当事人造成重大影响的客观事件，包括但不限于自然灾害如洪水、地震、火灾和风暴等以及社会事件如战争、动乱、政府行为等。</w:t>
      </w:r>
    </w:p>
    <w:p>
      <w:pPr>
        <w:rPr>
          <w:rFonts w:hint="eastAsia" w:ascii="黑体" w:hAnsi="黑体" w:eastAsia="黑体" w:cs="黑体"/>
          <w:sz w:val="24"/>
          <w:szCs w:val="24"/>
        </w:rPr>
      </w:pPr>
      <w:r>
        <w:rPr>
          <w:rFonts w:hint="eastAsia" w:ascii="黑体" w:hAnsi="黑体" w:eastAsia="黑体" w:cs="黑体"/>
          <w:sz w:val="24"/>
          <w:szCs w:val="24"/>
        </w:rPr>
        <w:t>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rPr>
          <w:rFonts w:hint="eastAsia" w:ascii="黑体" w:hAnsi="黑体" w:eastAsia="黑体" w:cs="黑体"/>
          <w:sz w:val="24"/>
          <w:szCs w:val="24"/>
        </w:rPr>
      </w:pPr>
      <w:r>
        <w:rPr>
          <w:rFonts w:hint="eastAsia" w:ascii="黑体" w:hAnsi="黑体" w:eastAsia="黑体" w:cs="黑体"/>
          <w:sz w:val="24"/>
          <w:szCs w:val="24"/>
        </w:rPr>
        <w:t>　　第十五条　通知</w:t>
      </w:r>
    </w:p>
    <w:p>
      <w:pPr>
        <w:rPr>
          <w:rFonts w:hint="eastAsia" w:ascii="黑体" w:hAnsi="黑体" w:eastAsia="黑体" w:cs="黑体"/>
          <w:sz w:val="24"/>
          <w:szCs w:val="24"/>
        </w:rPr>
      </w:pPr>
      <w:r>
        <w:rPr>
          <w:rFonts w:hint="eastAsia" w:ascii="黑体" w:hAnsi="黑体" w:eastAsia="黑体" w:cs="黑体"/>
          <w:sz w:val="24"/>
          <w:szCs w:val="24"/>
        </w:rPr>
        <w:t>　　1．根据本合同需要发出的全部通知以及双方的文件往来及与本合同有关的通知和要求等，必须用书面形式，可采用_________（书信、传真、电报、当面送交等方式）传递。以上方式无法送达的，方可采取公告送达的方式。</w:t>
      </w:r>
    </w:p>
    <w:p>
      <w:pPr>
        <w:rPr>
          <w:rFonts w:hint="eastAsia" w:ascii="黑体" w:hAnsi="黑体" w:eastAsia="黑体" w:cs="黑体"/>
          <w:sz w:val="24"/>
          <w:szCs w:val="24"/>
        </w:rPr>
      </w:pPr>
      <w:r>
        <w:rPr>
          <w:rFonts w:hint="eastAsia" w:ascii="黑体" w:hAnsi="黑体" w:eastAsia="黑体" w:cs="黑体"/>
          <w:sz w:val="24"/>
          <w:szCs w:val="24"/>
        </w:rPr>
        <w:t>　　2．各方通讯地址如下：_________。</w:t>
      </w:r>
    </w:p>
    <w:p>
      <w:pPr>
        <w:rPr>
          <w:rFonts w:hint="eastAsia" w:ascii="黑体" w:hAnsi="黑体" w:eastAsia="黑体" w:cs="黑体"/>
          <w:sz w:val="24"/>
          <w:szCs w:val="24"/>
        </w:rPr>
      </w:pPr>
      <w:r>
        <w:rPr>
          <w:rFonts w:hint="eastAsia" w:ascii="黑体" w:hAnsi="黑体" w:eastAsia="黑体" w:cs="黑体"/>
          <w:sz w:val="24"/>
          <w:szCs w:val="24"/>
        </w:rPr>
        <w:t>　　3．一方变更通知或通讯地址，应自变更之日起_________日内，以书面形式通知对方；否则，由未通知方承担由此而引起的相应责任。</w:t>
      </w:r>
    </w:p>
    <w:p>
      <w:pPr>
        <w:rPr>
          <w:rFonts w:hint="eastAsia" w:ascii="黑体" w:hAnsi="黑体" w:eastAsia="黑体" w:cs="黑体"/>
          <w:sz w:val="24"/>
          <w:szCs w:val="24"/>
        </w:rPr>
      </w:pPr>
      <w:r>
        <w:rPr>
          <w:rFonts w:hint="eastAsia" w:ascii="黑体" w:hAnsi="黑体" w:eastAsia="黑体" w:cs="黑体"/>
          <w:sz w:val="24"/>
          <w:szCs w:val="24"/>
        </w:rPr>
        <w:t>　　第十六条　争议的处理</w:t>
      </w:r>
    </w:p>
    <w:p>
      <w:pPr>
        <w:rPr>
          <w:rFonts w:hint="eastAsia" w:ascii="黑体" w:hAnsi="黑体" w:eastAsia="黑体" w:cs="黑体"/>
          <w:sz w:val="24"/>
          <w:szCs w:val="24"/>
        </w:rPr>
      </w:pPr>
      <w:r>
        <w:rPr>
          <w:rFonts w:hint="eastAsia" w:ascii="黑体" w:hAnsi="黑体" w:eastAsia="黑体" w:cs="黑体"/>
          <w:sz w:val="24"/>
          <w:szCs w:val="24"/>
        </w:rPr>
        <w:t>　　1．本合同受_________国法律管辖并按其进行解释。</w:t>
      </w:r>
    </w:p>
    <w:p>
      <w:pPr>
        <w:rPr>
          <w:rFonts w:hint="eastAsia" w:ascii="黑体" w:hAnsi="黑体" w:eastAsia="黑体" w:cs="黑体"/>
          <w:sz w:val="24"/>
          <w:szCs w:val="24"/>
        </w:rPr>
      </w:pPr>
      <w:r>
        <w:rPr>
          <w:rFonts w:hint="eastAsia" w:ascii="黑体" w:hAnsi="黑体" w:eastAsia="黑体" w:cs="黑体"/>
          <w:sz w:val="24"/>
          <w:szCs w:val="24"/>
        </w:rPr>
        <w:t>　　2．本合同在履行过程中发生的争议，由双方当事人协商解决，也可由有关部门调解；协商或调解不成的，按下列第_________种方式解决：</w:t>
      </w:r>
    </w:p>
    <w:p>
      <w:pPr>
        <w:rPr>
          <w:rFonts w:hint="eastAsia" w:ascii="黑体" w:hAnsi="黑体" w:eastAsia="黑体" w:cs="黑体"/>
          <w:sz w:val="24"/>
          <w:szCs w:val="24"/>
        </w:rPr>
      </w:pPr>
      <w:r>
        <w:rPr>
          <w:rFonts w:hint="eastAsia" w:ascii="黑体" w:hAnsi="黑体" w:eastAsia="黑体" w:cs="黑体"/>
          <w:sz w:val="24"/>
          <w:szCs w:val="24"/>
        </w:rPr>
        <w:t>　　（1）提交_________仲裁委员会仲裁；</w:t>
      </w:r>
    </w:p>
    <w:p>
      <w:pPr>
        <w:rPr>
          <w:rFonts w:hint="eastAsia" w:ascii="黑体" w:hAnsi="黑体" w:eastAsia="黑体" w:cs="黑体"/>
          <w:sz w:val="24"/>
          <w:szCs w:val="24"/>
        </w:rPr>
      </w:pPr>
      <w:r>
        <w:rPr>
          <w:rFonts w:hint="eastAsia" w:ascii="黑体" w:hAnsi="黑体" w:eastAsia="黑体" w:cs="黑体"/>
          <w:sz w:val="24"/>
          <w:szCs w:val="24"/>
        </w:rPr>
        <w:t>　　（2）依法向人民法院起诉。</w:t>
      </w:r>
    </w:p>
    <w:p>
      <w:pPr>
        <w:rPr>
          <w:rFonts w:hint="eastAsia" w:ascii="黑体" w:hAnsi="黑体" w:eastAsia="黑体" w:cs="黑体"/>
          <w:sz w:val="24"/>
          <w:szCs w:val="24"/>
        </w:rPr>
      </w:pPr>
      <w:r>
        <w:rPr>
          <w:rFonts w:hint="eastAsia" w:ascii="黑体" w:hAnsi="黑体" w:eastAsia="黑体" w:cs="黑体"/>
          <w:sz w:val="24"/>
          <w:szCs w:val="24"/>
        </w:rPr>
        <w:t>　　第十七条　解释</w:t>
      </w:r>
    </w:p>
    <w:p>
      <w:pPr>
        <w:rPr>
          <w:rFonts w:hint="eastAsia" w:ascii="黑体" w:hAnsi="黑体" w:eastAsia="黑体" w:cs="黑体"/>
          <w:sz w:val="24"/>
          <w:szCs w:val="24"/>
        </w:rPr>
      </w:pPr>
      <w:r>
        <w:rPr>
          <w:rFonts w:hint="eastAsia" w:ascii="黑体" w:hAnsi="黑体" w:eastAsia="黑体" w:cs="黑体"/>
          <w:sz w:val="24"/>
          <w:szCs w:val="24"/>
        </w:rPr>
        <w:t>　　本合同的理解与解释应依据合同目的和文本原义进行，本合同的标题仅是为了阅读方便而设，不应影响本合同的解释。</w:t>
      </w:r>
    </w:p>
    <w:p>
      <w:pPr>
        <w:rPr>
          <w:rFonts w:hint="eastAsia" w:ascii="黑体" w:hAnsi="黑体" w:eastAsia="黑体" w:cs="黑体"/>
          <w:sz w:val="24"/>
          <w:szCs w:val="24"/>
        </w:rPr>
      </w:pPr>
      <w:r>
        <w:rPr>
          <w:rFonts w:hint="eastAsia" w:ascii="黑体" w:hAnsi="黑体" w:eastAsia="黑体" w:cs="黑体"/>
          <w:sz w:val="24"/>
          <w:szCs w:val="24"/>
        </w:rPr>
        <w:t>　　第十八条　补充与附件</w:t>
      </w:r>
    </w:p>
    <w:p>
      <w:pPr>
        <w:rPr>
          <w:rFonts w:hint="eastAsia" w:ascii="黑体" w:hAnsi="黑体" w:eastAsia="黑体" w:cs="黑体"/>
          <w:sz w:val="24"/>
          <w:szCs w:val="24"/>
        </w:rPr>
      </w:pPr>
      <w:r>
        <w:rPr>
          <w:rFonts w:hint="eastAsia" w:ascii="黑体" w:hAnsi="黑体" w:eastAsia="黑体" w:cs="黑体"/>
          <w:sz w:val="24"/>
          <w:szCs w:val="24"/>
        </w:rPr>
        <w:t>　　本合同未尽事宜，依照有关法律、法规执行，法律、法规未作规定的，甲乙双方可以达成书面补充协议。本合同的附件和补充协议均为本合同不可分割的组成部分，与本合同具有同等的法律效力。</w:t>
      </w:r>
    </w:p>
    <w:p>
      <w:pPr>
        <w:rPr>
          <w:rFonts w:hint="eastAsia" w:ascii="黑体" w:hAnsi="黑体" w:eastAsia="黑体" w:cs="黑体"/>
          <w:sz w:val="24"/>
          <w:szCs w:val="24"/>
        </w:rPr>
      </w:pPr>
      <w:r>
        <w:rPr>
          <w:rFonts w:hint="eastAsia" w:ascii="黑体" w:hAnsi="黑体" w:eastAsia="黑体" w:cs="黑体"/>
          <w:sz w:val="24"/>
          <w:szCs w:val="24"/>
        </w:rPr>
        <w:t>　　第十九条　合同效力</w:t>
      </w:r>
    </w:p>
    <w:p>
      <w:pPr>
        <w:rPr>
          <w:rFonts w:hint="eastAsia" w:ascii="黑体" w:hAnsi="黑体" w:eastAsia="黑体" w:cs="黑体"/>
          <w:sz w:val="24"/>
          <w:szCs w:val="24"/>
        </w:rPr>
      </w:pPr>
      <w:r>
        <w:rPr>
          <w:rFonts w:hint="eastAsia" w:ascii="黑体" w:hAnsi="黑体" w:eastAsia="黑体" w:cs="黑体"/>
          <w:sz w:val="24"/>
          <w:szCs w:val="24"/>
        </w:rPr>
        <w:t>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rPr>
          <w:rFonts w:hint="eastAsia" w:ascii="黑体" w:hAnsi="黑体" w:eastAsia="黑体" w:cs="黑体"/>
          <w:sz w:val="24"/>
          <w:szCs w:val="24"/>
        </w:rPr>
      </w:pPr>
      <w:r>
        <w:rPr>
          <w:rFonts w:hint="eastAsia" w:ascii="黑体" w:hAnsi="黑体" w:eastAsia="黑体" w:cs="黑体"/>
          <w:sz w:val="24"/>
          <w:szCs w:val="24"/>
        </w:rPr>
        <w:t>　　委托方（盖章）：_________　　　　　　　服务方（盖章）：_________　　　　　　　</w:t>
      </w:r>
    </w:p>
    <w:p>
      <w:pPr>
        <w:rPr>
          <w:rFonts w:hint="eastAsia" w:ascii="黑体" w:hAnsi="黑体" w:eastAsia="黑体" w:cs="黑体"/>
          <w:sz w:val="24"/>
          <w:szCs w:val="24"/>
        </w:rPr>
      </w:pPr>
      <w:r>
        <w:rPr>
          <w:rFonts w:hint="eastAsia" w:ascii="黑体" w:hAnsi="黑体" w:eastAsia="黑体" w:cs="黑体"/>
          <w:sz w:val="24"/>
          <w:szCs w:val="24"/>
        </w:rPr>
        <w:t>　　负责人（签字）：_________　　　　　　　负责人（签字）：_________</w:t>
      </w:r>
    </w:p>
    <w:p>
      <w:pPr>
        <w:rPr>
          <w:rFonts w:hint="eastAsia" w:ascii="黑体" w:hAnsi="黑体" w:eastAsia="黑体" w:cs="黑体"/>
          <w:sz w:val="24"/>
          <w:szCs w:val="24"/>
        </w:rPr>
      </w:pPr>
      <w:r>
        <w:rPr>
          <w:rFonts w:hint="eastAsia" w:ascii="黑体" w:hAnsi="黑体" w:eastAsia="黑体" w:cs="黑体"/>
          <w:sz w:val="24"/>
          <w:szCs w:val="24"/>
        </w:rPr>
        <w:t>　　开户银行：_________　　　　　　　　　　开户银行：_________　　　　　　　　　　</w:t>
      </w:r>
    </w:p>
    <w:p>
      <w:pPr>
        <w:rPr>
          <w:rFonts w:hint="eastAsia" w:ascii="黑体" w:hAnsi="黑体" w:eastAsia="黑体" w:cs="黑体"/>
          <w:sz w:val="24"/>
          <w:szCs w:val="24"/>
        </w:rPr>
      </w:pPr>
      <w:r>
        <w:rPr>
          <w:rFonts w:hint="eastAsia" w:ascii="黑体" w:hAnsi="黑体" w:eastAsia="黑体" w:cs="黑体"/>
          <w:sz w:val="24"/>
          <w:szCs w:val="24"/>
        </w:rPr>
        <w:t>　　帐号：_________　　　　　　　　　　　　帐号：_________　　　　　　　　　　　　</w:t>
      </w:r>
    </w:p>
    <w:p>
      <w:pPr>
        <w:rPr>
          <w:rFonts w:hint="eastAsia" w:ascii="黑体" w:hAnsi="黑体" w:eastAsia="黑体" w:cs="黑体"/>
          <w:sz w:val="24"/>
          <w:szCs w:val="24"/>
        </w:rPr>
      </w:pPr>
      <w:r>
        <w:rPr>
          <w:rFonts w:hint="eastAsia" w:ascii="黑体" w:hAnsi="黑体" w:eastAsia="黑体" w:cs="黑体"/>
          <w:sz w:val="24"/>
          <w:szCs w:val="24"/>
        </w:rPr>
        <w:t>　　委托方担保人（盖章）：_________　　　　服务方担保人（盖章）：_________　　　　</w:t>
      </w:r>
    </w:p>
    <w:p>
      <w:pPr>
        <w:rPr>
          <w:rFonts w:hint="eastAsia" w:ascii="黑体" w:hAnsi="黑体" w:eastAsia="黑体" w:cs="黑体"/>
          <w:sz w:val="24"/>
          <w:szCs w:val="24"/>
        </w:rPr>
      </w:pPr>
      <w:r>
        <w:rPr>
          <w:rFonts w:hint="eastAsia" w:ascii="黑体" w:hAnsi="黑体" w:eastAsia="黑体" w:cs="黑体"/>
          <w:sz w:val="24"/>
          <w:szCs w:val="24"/>
        </w:rPr>
        <w:t>　　地址：_________　　　　　　　　　　　　地址：_________　　　　　　　　　　　　</w:t>
      </w:r>
    </w:p>
    <w:p>
      <w:pPr>
        <w:rPr>
          <w:rFonts w:hint="eastAsia" w:ascii="黑体" w:hAnsi="黑体" w:eastAsia="黑体" w:cs="黑体"/>
          <w:sz w:val="24"/>
          <w:szCs w:val="24"/>
        </w:rPr>
      </w:pPr>
      <w:r>
        <w:rPr>
          <w:rFonts w:hint="eastAsia" w:ascii="黑体" w:hAnsi="黑体" w:eastAsia="黑体" w:cs="黑体"/>
          <w:sz w:val="24"/>
          <w:szCs w:val="24"/>
        </w:rPr>
        <w:t>　　负责人（签字）：_________　　　　　　　负责人（签字）：_________</w:t>
      </w:r>
    </w:p>
    <w:p>
      <w:pPr>
        <w:rPr>
          <w:rFonts w:hint="eastAsia" w:ascii="黑体" w:hAnsi="黑体" w:eastAsia="黑体" w:cs="黑体"/>
          <w:sz w:val="24"/>
          <w:szCs w:val="24"/>
        </w:rPr>
      </w:pPr>
      <w:r>
        <w:rPr>
          <w:rFonts w:hint="eastAsia" w:ascii="黑体" w:hAnsi="黑体" w:eastAsia="黑体" w:cs="黑体"/>
          <w:sz w:val="24"/>
          <w:szCs w:val="24"/>
        </w:rPr>
        <w:t>　　开户银行：_________　　　　　　　　　　开户银行：_________　　　　　　　　　　</w:t>
      </w:r>
    </w:p>
    <w:p>
      <w:pPr>
        <w:rPr>
          <w:rFonts w:hint="eastAsia" w:ascii="黑体" w:hAnsi="黑体" w:eastAsia="黑体" w:cs="黑体"/>
          <w:sz w:val="24"/>
          <w:szCs w:val="24"/>
        </w:rPr>
      </w:pPr>
      <w:r>
        <w:rPr>
          <w:rFonts w:hint="eastAsia" w:ascii="黑体" w:hAnsi="黑体" w:eastAsia="黑体" w:cs="黑体"/>
          <w:sz w:val="24"/>
          <w:szCs w:val="24"/>
        </w:rPr>
        <w:t>　　帐号：_________　　　　　　　　　　　　帐号：_________　　　　　　　　　　　　</w:t>
      </w:r>
    </w:p>
    <w:p>
      <w:pPr>
        <w:rPr>
          <w:rFonts w:hint="eastAsia" w:ascii="黑体" w:hAnsi="黑体" w:eastAsia="黑体" w:cs="黑体"/>
          <w:sz w:val="24"/>
          <w:szCs w:val="24"/>
        </w:rPr>
      </w:pPr>
      <w:r>
        <w:rPr>
          <w:rFonts w:hint="eastAsia" w:ascii="黑体" w:hAnsi="黑体" w:eastAsia="黑体" w:cs="黑体"/>
          <w:sz w:val="24"/>
          <w:szCs w:val="24"/>
        </w:rPr>
        <w:t>　　_________年____月____日　　　　　　　　_________年____月____日　　　　　　　　</w:t>
      </w:r>
    </w:p>
    <w:p>
      <w:pPr>
        <w:ind w:firstLine="640"/>
        <w:rPr>
          <w:rFonts w:hint="eastAsia" w:ascii="黑体" w:hAnsi="黑体" w:eastAsia="黑体" w:cs="黑体"/>
          <w:sz w:val="24"/>
          <w:szCs w:val="24"/>
        </w:rPr>
      </w:pPr>
      <w:r>
        <w:rPr>
          <w:rFonts w:hint="eastAsia" w:ascii="黑体" w:hAnsi="黑体" w:eastAsia="黑体" w:cs="黑体"/>
          <w:sz w:val="24"/>
          <w:szCs w:val="24"/>
        </w:rPr>
        <w:t>签订地点：_________　　　　　　　　　　签订地点：_________</w:t>
      </w:r>
    </w:p>
    <w:p>
      <w:pPr>
        <w:ind w:firstLine="640"/>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6"/>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生产厂家营业执照</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4" w:name="_Toc219626747"/>
      <w:bookmarkStart w:id="5" w:name="_Toc248896063"/>
      <w:bookmarkStart w:id="6" w:name="_Toc258333636"/>
      <w:bookmarkStart w:id="7" w:name="_Toc258354146"/>
      <w:bookmarkStart w:id="8" w:name="_Toc261708863"/>
      <w:bookmarkStart w:id="9" w:name="_Toc258360158"/>
      <w:bookmarkStart w:id="10" w:name="_Toc304219257"/>
      <w:bookmarkStart w:id="11" w:name="_Toc15313"/>
      <w:bookmarkStart w:id="12" w:name="_Toc17030"/>
      <w:bookmarkStart w:id="13" w:name="_Toc9548"/>
      <w:bookmarkStart w:id="14" w:name="_Toc320878640"/>
      <w:bookmarkStart w:id="15" w:name="_Toc337475854"/>
      <w:bookmarkStart w:id="16" w:name="_Toc258360269"/>
      <w:bookmarkStart w:id="17" w:name="_Toc10762"/>
      <w:bookmarkStart w:id="18"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tabs>
          <w:tab w:val="center" w:pos="4363"/>
        </w:tabs>
        <w:ind w:firstLine="420"/>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9984B6B"/>
    <w:rsid w:val="0B9D1095"/>
    <w:rsid w:val="0E9016D0"/>
    <w:rsid w:val="0E93621F"/>
    <w:rsid w:val="111B0067"/>
    <w:rsid w:val="114C35D9"/>
    <w:rsid w:val="14682D8B"/>
    <w:rsid w:val="16A35C46"/>
    <w:rsid w:val="17D81E85"/>
    <w:rsid w:val="188744A6"/>
    <w:rsid w:val="1A7C3C8A"/>
    <w:rsid w:val="1D995826"/>
    <w:rsid w:val="1E4C6245"/>
    <w:rsid w:val="205B5213"/>
    <w:rsid w:val="245F44FD"/>
    <w:rsid w:val="24FE3AD7"/>
    <w:rsid w:val="25E13CF1"/>
    <w:rsid w:val="2643733F"/>
    <w:rsid w:val="264A511E"/>
    <w:rsid w:val="288B4898"/>
    <w:rsid w:val="2A9B72B6"/>
    <w:rsid w:val="2F632DBF"/>
    <w:rsid w:val="33F956F6"/>
    <w:rsid w:val="384A7AD5"/>
    <w:rsid w:val="3B2A4846"/>
    <w:rsid w:val="3B5373B6"/>
    <w:rsid w:val="44B67130"/>
    <w:rsid w:val="486D7AF7"/>
    <w:rsid w:val="4A942511"/>
    <w:rsid w:val="4B9C1C97"/>
    <w:rsid w:val="57162389"/>
    <w:rsid w:val="615523A0"/>
    <w:rsid w:val="64E26821"/>
    <w:rsid w:val="66016CC0"/>
    <w:rsid w:val="695C7637"/>
    <w:rsid w:val="6CD8518D"/>
    <w:rsid w:val="78BE0AF1"/>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qFormat/>
    <w:uiPriority w:val="99"/>
    <w:rPr>
      <w:rFonts w:ascii="微软雅黑" w:hAnsi="微软雅黑" w:eastAsia="微软雅黑" w:cs="微软雅黑"/>
      <w:color w:val="02396F"/>
      <w:u w:val="single"/>
    </w:rPr>
  </w:style>
  <w:style w:type="character" w:styleId="10">
    <w:name w:val="annotation reference"/>
    <w:basedOn w:val="8"/>
    <w:qFormat/>
    <w:uiPriority w:val="0"/>
    <w:rPr>
      <w:sz w:val="21"/>
      <w:szCs w:val="21"/>
    </w:rPr>
  </w:style>
  <w:style w:type="paragraph" w:customStyle="1" w:styleId="11">
    <w:name w:val="Normal_3"/>
    <w:qFormat/>
    <w:uiPriority w:val="0"/>
    <w:rPr>
      <w:rFonts w:ascii="Times New Roman" w:hAnsi="Times New Roman" w:eastAsia="Times New Roman" w:cs="Times New Roman"/>
      <w:sz w:val="24"/>
      <w:szCs w:val="24"/>
      <w:lang w:val="en-US" w:eastAsia="zh-CN" w:bidi="ar-SA"/>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8</TotalTime>
  <ScaleCrop>false</ScaleCrop>
  <LinksUpToDate>false</LinksUpToDate>
  <CharactersWithSpaces>7752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2019-06-06T07:05:53Z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